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A12D53" w14:textId="77777777" w:rsidR="00FD4432" w:rsidRDefault="00FD4432" w:rsidP="00FD4432">
      <w:pPr>
        <w:pStyle w:val="Titleofthedocument"/>
        <w:rPr>
          <w:sz w:val="44"/>
          <w:szCs w:val="44"/>
        </w:rPr>
      </w:pPr>
      <w:r>
        <w:rPr>
          <w:sz w:val="44"/>
          <w:szCs w:val="44"/>
        </w:rPr>
        <w:t xml:space="preserve">       </w:t>
      </w:r>
      <w:r w:rsidR="00792940" w:rsidRPr="00FD4432">
        <w:rPr>
          <w:sz w:val="44"/>
          <w:szCs w:val="44"/>
        </w:rPr>
        <w:t xml:space="preserve">Lucha contra el fraude y la corrupción </w:t>
      </w:r>
      <w:r w:rsidR="00B93B09" w:rsidRPr="00FD4432">
        <w:rPr>
          <w:sz w:val="44"/>
          <w:szCs w:val="44"/>
        </w:rPr>
        <w:t xml:space="preserve">Modelo </w:t>
      </w:r>
    </w:p>
    <w:p w14:paraId="6754BC04" w14:textId="77777777" w:rsidR="00616AED" w:rsidRPr="00FD4432" w:rsidRDefault="00FD4432" w:rsidP="00FD4432">
      <w:pPr>
        <w:pStyle w:val="Titleofthedocument"/>
        <w:rPr>
          <w:sz w:val="44"/>
          <w:szCs w:val="44"/>
        </w:rPr>
      </w:pPr>
      <w:r>
        <w:rPr>
          <w:noProof/>
          <w:lang w:val="en-US" w:eastAsia="en-US" w:bidi="ar-SA"/>
        </w:rPr>
        <w:drawing>
          <wp:anchor distT="0" distB="0" distL="114300" distR="114300" simplePos="0" relativeHeight="251659264" behindDoc="0" locked="0" layoutInCell="1" allowOverlap="1" wp14:anchorId="26E8D74C" wp14:editId="4D984052">
            <wp:simplePos x="0" y="0"/>
            <wp:positionH relativeFrom="column">
              <wp:posOffset>69850</wp:posOffset>
            </wp:positionH>
            <wp:positionV relativeFrom="paragraph">
              <wp:posOffset>-373380</wp:posOffset>
            </wp:positionV>
            <wp:extent cx="791405" cy="76262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1405" cy="762629"/>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44"/>
          <w:szCs w:val="44"/>
        </w:rPr>
        <w:t xml:space="preserve">         </w:t>
      </w:r>
      <w:r w:rsidR="00B93B09" w:rsidRPr="00FD4432">
        <w:rPr>
          <w:sz w:val="44"/>
          <w:szCs w:val="44"/>
        </w:rPr>
        <w:t>para la participación de las partes interesadas*</w:t>
      </w:r>
    </w:p>
    <w:p w14:paraId="38BDD0C0" w14:textId="77777777" w:rsidR="00B93B09" w:rsidRPr="00960113" w:rsidRDefault="00B93B09" w:rsidP="00B93B09">
      <w:pPr>
        <w:pStyle w:val="BodyText"/>
      </w:pPr>
    </w:p>
    <w:tbl>
      <w:tblPr>
        <w:tblStyle w:val="TableGrid"/>
        <w:tblW w:w="11199" w:type="dxa"/>
        <w:tblInd w:w="17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F3F3F3"/>
        <w:tblLayout w:type="fixed"/>
        <w:tblCellMar>
          <w:top w:w="113" w:type="dxa"/>
          <w:left w:w="113" w:type="dxa"/>
          <w:bottom w:w="113" w:type="dxa"/>
          <w:right w:w="113" w:type="dxa"/>
        </w:tblCellMar>
        <w:tblLook w:val="04A0" w:firstRow="1" w:lastRow="0" w:firstColumn="1" w:lastColumn="0" w:noHBand="0" w:noVBand="1"/>
      </w:tblPr>
      <w:tblGrid>
        <w:gridCol w:w="794"/>
        <w:gridCol w:w="7654"/>
        <w:gridCol w:w="1701"/>
        <w:gridCol w:w="1050"/>
      </w:tblGrid>
      <w:tr w:rsidR="005C33F4" w:rsidRPr="00960113" w14:paraId="328E06A4" w14:textId="77777777" w:rsidTr="004C43C9">
        <w:tc>
          <w:tcPr>
            <w:tcW w:w="794" w:type="dxa"/>
            <w:shd w:val="clear" w:color="auto" w:fill="E6E6E6"/>
          </w:tcPr>
          <w:p w14:paraId="64FE33C8" w14:textId="77777777" w:rsidR="005C33F4" w:rsidRPr="00960113" w:rsidRDefault="005C33F4" w:rsidP="005C33F4">
            <w:pPr>
              <w:pStyle w:val="boldtextTable"/>
            </w:pPr>
            <w:r>
              <w:t>Fase</w:t>
            </w:r>
          </w:p>
        </w:tc>
        <w:tc>
          <w:tcPr>
            <w:tcW w:w="7654" w:type="dxa"/>
            <w:shd w:val="clear" w:color="auto" w:fill="E6E6E6"/>
          </w:tcPr>
          <w:p w14:paraId="07157E4A" w14:textId="77777777" w:rsidR="005C33F4" w:rsidRPr="00960113" w:rsidRDefault="005C33F4" w:rsidP="003B39F2">
            <w:pPr>
              <w:pStyle w:val="boldtextTable"/>
            </w:pPr>
            <w:r>
              <w:t>Medida</w:t>
            </w:r>
          </w:p>
        </w:tc>
        <w:tc>
          <w:tcPr>
            <w:tcW w:w="1701" w:type="dxa"/>
            <w:shd w:val="clear" w:color="auto" w:fill="E6E6E6"/>
          </w:tcPr>
          <w:p w14:paraId="5E9A8F4F" w14:textId="77777777" w:rsidR="005C33F4" w:rsidRPr="00960113" w:rsidRDefault="005C33F4" w:rsidP="005C33F4">
            <w:pPr>
              <w:pStyle w:val="boldtextTable"/>
            </w:pPr>
            <w:r>
              <w:t>Responsable</w:t>
            </w:r>
          </w:p>
        </w:tc>
        <w:tc>
          <w:tcPr>
            <w:tcW w:w="1050" w:type="dxa"/>
            <w:shd w:val="clear" w:color="auto" w:fill="E6E6E6"/>
          </w:tcPr>
          <w:p w14:paraId="6A78ACE7" w14:textId="77777777" w:rsidR="005C33F4" w:rsidRPr="00960113" w:rsidRDefault="005C33F4" w:rsidP="003B39F2">
            <w:pPr>
              <w:pStyle w:val="boldtextTable"/>
            </w:pPr>
            <w:r>
              <w:t>Día</w:t>
            </w:r>
          </w:p>
        </w:tc>
      </w:tr>
      <w:tr w:rsidR="00B93B09" w:rsidRPr="00960113" w14:paraId="1E4EF41B" w14:textId="77777777" w:rsidTr="004C43C9">
        <w:tc>
          <w:tcPr>
            <w:tcW w:w="794" w:type="dxa"/>
            <w:shd w:val="clear" w:color="auto" w:fill="F3F3F3"/>
          </w:tcPr>
          <w:p w14:paraId="0DA18A90" w14:textId="77777777" w:rsidR="005C33F4" w:rsidRPr="00960113" w:rsidRDefault="005C33F4" w:rsidP="003B39F2">
            <w:pPr>
              <w:pStyle w:val="boldtextTable"/>
              <w:rPr>
                <w:sz w:val="20"/>
                <w:szCs w:val="20"/>
              </w:rPr>
            </w:pPr>
            <w:r>
              <w:rPr>
                <w:sz w:val="20"/>
              </w:rPr>
              <w:t>1</w:t>
            </w:r>
          </w:p>
        </w:tc>
        <w:tc>
          <w:tcPr>
            <w:tcW w:w="7654" w:type="dxa"/>
            <w:shd w:val="clear" w:color="auto" w:fill="F3F3F3"/>
          </w:tcPr>
          <w:p w14:paraId="094D66A5" w14:textId="77777777" w:rsidR="005C33F4" w:rsidRPr="00960113" w:rsidRDefault="00792940" w:rsidP="00616AED">
            <w:pPr>
              <w:pStyle w:val="Bodytextintable"/>
              <w:rPr>
                <w:sz w:val="20"/>
                <w:szCs w:val="20"/>
              </w:rPr>
            </w:pPr>
            <w:r>
              <w:rPr>
                <w:sz w:val="20"/>
              </w:rPr>
              <w:t>El punto focal (PF) para casos de fraude y corrupción recibe o identifica un informe sobre un caso de fraude o corrupción.</w:t>
            </w:r>
          </w:p>
        </w:tc>
        <w:tc>
          <w:tcPr>
            <w:tcW w:w="1701" w:type="dxa"/>
            <w:shd w:val="clear" w:color="auto" w:fill="F3F3F3"/>
          </w:tcPr>
          <w:p w14:paraId="7967817C" w14:textId="77777777" w:rsidR="005C33F4" w:rsidRPr="00960113" w:rsidRDefault="005C33F4" w:rsidP="005C33F4">
            <w:pPr>
              <w:pStyle w:val="Bodytextcentralintable"/>
              <w:rPr>
                <w:sz w:val="20"/>
                <w:szCs w:val="20"/>
              </w:rPr>
            </w:pPr>
            <w:r>
              <w:rPr>
                <w:sz w:val="20"/>
              </w:rPr>
              <w:t>PF</w:t>
            </w:r>
          </w:p>
        </w:tc>
        <w:tc>
          <w:tcPr>
            <w:tcW w:w="1050" w:type="dxa"/>
            <w:shd w:val="clear" w:color="auto" w:fill="F3F3F3"/>
          </w:tcPr>
          <w:p w14:paraId="12DF5F12" w14:textId="77777777" w:rsidR="005C33F4" w:rsidRPr="00960113" w:rsidRDefault="005C33F4" w:rsidP="005C33F4">
            <w:pPr>
              <w:pStyle w:val="Bodytextcentralintable"/>
              <w:rPr>
                <w:sz w:val="20"/>
                <w:szCs w:val="20"/>
              </w:rPr>
            </w:pPr>
            <w:r>
              <w:rPr>
                <w:sz w:val="20"/>
              </w:rPr>
              <w:t>1</w:t>
            </w:r>
          </w:p>
        </w:tc>
      </w:tr>
      <w:tr w:rsidR="00B93B09" w:rsidRPr="00960113" w14:paraId="1F5F4BDD" w14:textId="77777777" w:rsidTr="004C43C9">
        <w:tc>
          <w:tcPr>
            <w:tcW w:w="794" w:type="dxa"/>
            <w:shd w:val="clear" w:color="auto" w:fill="F3F3F3"/>
          </w:tcPr>
          <w:p w14:paraId="55F77CFC" w14:textId="77777777" w:rsidR="005C33F4" w:rsidRPr="00960113" w:rsidRDefault="005C33F4" w:rsidP="003B39F2">
            <w:pPr>
              <w:pStyle w:val="boldtextTable"/>
              <w:rPr>
                <w:sz w:val="20"/>
                <w:szCs w:val="20"/>
              </w:rPr>
            </w:pPr>
            <w:r>
              <w:rPr>
                <w:sz w:val="20"/>
              </w:rPr>
              <w:t>2</w:t>
            </w:r>
          </w:p>
        </w:tc>
        <w:tc>
          <w:tcPr>
            <w:tcW w:w="7654" w:type="dxa"/>
            <w:shd w:val="clear" w:color="auto" w:fill="F3F3F3"/>
          </w:tcPr>
          <w:p w14:paraId="1282ACD6" w14:textId="77777777" w:rsidR="005C33F4" w:rsidRPr="00960113" w:rsidRDefault="005C33F4" w:rsidP="00616AED">
            <w:pPr>
              <w:pStyle w:val="Bodytextintable"/>
              <w:rPr>
                <w:sz w:val="20"/>
                <w:szCs w:val="20"/>
              </w:rPr>
            </w:pPr>
            <w:r>
              <w:rPr>
                <w:sz w:val="20"/>
              </w:rPr>
              <w:t>El PF vela por que se complete el formulario de notificación de casos de fraude y corrupción y por que los datos se registren en el Sistema de Gestión de Casos de Fraude y Corrupción.</w:t>
            </w:r>
          </w:p>
        </w:tc>
        <w:tc>
          <w:tcPr>
            <w:tcW w:w="1701" w:type="dxa"/>
            <w:shd w:val="clear" w:color="auto" w:fill="F3F3F3"/>
          </w:tcPr>
          <w:p w14:paraId="3A2D46B0" w14:textId="77777777" w:rsidR="005C33F4" w:rsidRPr="00960113" w:rsidRDefault="005C33F4" w:rsidP="005C33F4">
            <w:pPr>
              <w:pStyle w:val="Bodytextcentralintable"/>
              <w:rPr>
                <w:sz w:val="20"/>
                <w:szCs w:val="20"/>
              </w:rPr>
            </w:pPr>
            <w:r>
              <w:rPr>
                <w:sz w:val="20"/>
              </w:rPr>
              <w:t>PF</w:t>
            </w:r>
          </w:p>
        </w:tc>
        <w:tc>
          <w:tcPr>
            <w:tcW w:w="1050" w:type="dxa"/>
            <w:shd w:val="clear" w:color="auto" w:fill="F3F3F3"/>
          </w:tcPr>
          <w:p w14:paraId="75FDA992" w14:textId="77777777" w:rsidR="005C33F4" w:rsidRPr="00960113" w:rsidRDefault="005C33F4" w:rsidP="005C33F4">
            <w:pPr>
              <w:pStyle w:val="Bodytextcentralintable"/>
              <w:rPr>
                <w:sz w:val="20"/>
                <w:szCs w:val="20"/>
              </w:rPr>
            </w:pPr>
            <w:r>
              <w:rPr>
                <w:sz w:val="20"/>
              </w:rPr>
              <w:t>1</w:t>
            </w:r>
          </w:p>
        </w:tc>
      </w:tr>
      <w:tr w:rsidR="00B93B09" w:rsidRPr="00960113" w14:paraId="1F80CD21" w14:textId="77777777" w:rsidTr="004C43C9">
        <w:tc>
          <w:tcPr>
            <w:tcW w:w="794" w:type="dxa"/>
            <w:shd w:val="clear" w:color="auto" w:fill="F3F3F3"/>
          </w:tcPr>
          <w:p w14:paraId="25EE20A6" w14:textId="77777777" w:rsidR="005C33F4" w:rsidRPr="00960113" w:rsidRDefault="005C33F4" w:rsidP="003B39F2">
            <w:pPr>
              <w:pStyle w:val="boldtextTable"/>
              <w:rPr>
                <w:sz w:val="20"/>
                <w:szCs w:val="20"/>
              </w:rPr>
            </w:pPr>
            <w:r>
              <w:rPr>
                <w:sz w:val="20"/>
              </w:rPr>
              <w:t>3</w:t>
            </w:r>
          </w:p>
        </w:tc>
        <w:tc>
          <w:tcPr>
            <w:tcW w:w="7654" w:type="dxa"/>
            <w:shd w:val="clear" w:color="auto" w:fill="F3F3F3"/>
          </w:tcPr>
          <w:p w14:paraId="3B673F18" w14:textId="77777777" w:rsidR="005C33F4" w:rsidRPr="00960113" w:rsidRDefault="005C33F4" w:rsidP="00616AED">
            <w:pPr>
              <w:pStyle w:val="Bodytextintable"/>
              <w:rPr>
                <w:sz w:val="20"/>
                <w:szCs w:val="20"/>
              </w:rPr>
            </w:pPr>
            <w:r>
              <w:rPr>
                <w:sz w:val="20"/>
              </w:rPr>
              <w:t>El PF acusa recibo del informe al denunciante o persona que hace la notificación, y solicita toda la información necesaria para hacer una primera evaluación.</w:t>
            </w:r>
          </w:p>
        </w:tc>
        <w:tc>
          <w:tcPr>
            <w:tcW w:w="1701" w:type="dxa"/>
            <w:shd w:val="clear" w:color="auto" w:fill="F3F3F3"/>
          </w:tcPr>
          <w:p w14:paraId="02EC5DCE" w14:textId="77777777" w:rsidR="005C33F4" w:rsidRPr="00960113" w:rsidRDefault="005C33F4" w:rsidP="005C33F4">
            <w:pPr>
              <w:pStyle w:val="Bodytextcentralintable"/>
              <w:rPr>
                <w:sz w:val="20"/>
                <w:szCs w:val="20"/>
              </w:rPr>
            </w:pPr>
            <w:r>
              <w:rPr>
                <w:sz w:val="20"/>
              </w:rPr>
              <w:t>PF</w:t>
            </w:r>
          </w:p>
        </w:tc>
        <w:tc>
          <w:tcPr>
            <w:tcW w:w="1050" w:type="dxa"/>
            <w:shd w:val="clear" w:color="auto" w:fill="F3F3F3"/>
          </w:tcPr>
          <w:p w14:paraId="40D75265" w14:textId="77777777" w:rsidR="005C33F4" w:rsidRPr="00960113" w:rsidRDefault="005C33F4" w:rsidP="005C33F4">
            <w:pPr>
              <w:pStyle w:val="Bodytextcentralintable"/>
              <w:rPr>
                <w:sz w:val="20"/>
                <w:szCs w:val="20"/>
              </w:rPr>
            </w:pPr>
            <w:r>
              <w:rPr>
                <w:sz w:val="20"/>
              </w:rPr>
              <w:t>2</w:t>
            </w:r>
          </w:p>
        </w:tc>
      </w:tr>
      <w:tr w:rsidR="00B93B09" w:rsidRPr="00960113" w14:paraId="67D8E71B" w14:textId="77777777" w:rsidTr="004C43C9">
        <w:tc>
          <w:tcPr>
            <w:tcW w:w="794" w:type="dxa"/>
            <w:shd w:val="clear" w:color="auto" w:fill="F3F3F3"/>
          </w:tcPr>
          <w:p w14:paraId="2B4A2CB4" w14:textId="77777777" w:rsidR="005C33F4" w:rsidRPr="00960113" w:rsidRDefault="005C33F4" w:rsidP="003B39F2">
            <w:pPr>
              <w:pStyle w:val="boldtextTable"/>
              <w:rPr>
                <w:sz w:val="20"/>
                <w:szCs w:val="20"/>
              </w:rPr>
            </w:pPr>
            <w:r>
              <w:rPr>
                <w:sz w:val="20"/>
              </w:rPr>
              <w:t>4</w:t>
            </w:r>
          </w:p>
        </w:tc>
        <w:tc>
          <w:tcPr>
            <w:tcW w:w="7654" w:type="dxa"/>
            <w:shd w:val="clear" w:color="auto" w:fill="F3F3F3"/>
          </w:tcPr>
          <w:p w14:paraId="57A1B454" w14:textId="77777777" w:rsidR="005C33F4" w:rsidRPr="00960113" w:rsidRDefault="005C33F4">
            <w:pPr>
              <w:pStyle w:val="Bodytextintable"/>
              <w:rPr>
                <w:sz w:val="20"/>
                <w:szCs w:val="20"/>
              </w:rPr>
            </w:pPr>
            <w:r>
              <w:rPr>
                <w:sz w:val="20"/>
              </w:rPr>
              <w:t>El PF lleva a cabo un examen inicial del informe y elabora una evaluación por escrito en la que figuran las recomendaciones a su gerente.</w:t>
            </w:r>
          </w:p>
        </w:tc>
        <w:tc>
          <w:tcPr>
            <w:tcW w:w="1701" w:type="dxa"/>
            <w:shd w:val="clear" w:color="auto" w:fill="F3F3F3"/>
          </w:tcPr>
          <w:p w14:paraId="718FEA88" w14:textId="77777777" w:rsidR="005C33F4" w:rsidRPr="00960113" w:rsidRDefault="005C33F4" w:rsidP="005C33F4">
            <w:pPr>
              <w:pStyle w:val="Bodytextcentralintable"/>
              <w:rPr>
                <w:sz w:val="20"/>
                <w:szCs w:val="20"/>
              </w:rPr>
            </w:pPr>
            <w:r>
              <w:rPr>
                <w:sz w:val="20"/>
              </w:rPr>
              <w:t>PF</w:t>
            </w:r>
          </w:p>
        </w:tc>
        <w:tc>
          <w:tcPr>
            <w:tcW w:w="1050" w:type="dxa"/>
            <w:shd w:val="clear" w:color="auto" w:fill="F3F3F3"/>
          </w:tcPr>
          <w:p w14:paraId="39255273" w14:textId="77777777" w:rsidR="005C33F4" w:rsidRPr="00960113" w:rsidRDefault="005C33F4" w:rsidP="005C33F4">
            <w:pPr>
              <w:pStyle w:val="Bodytextcentralintable"/>
              <w:rPr>
                <w:sz w:val="20"/>
                <w:szCs w:val="20"/>
              </w:rPr>
            </w:pPr>
            <w:r>
              <w:rPr>
                <w:sz w:val="20"/>
              </w:rPr>
              <w:t>3</w:t>
            </w:r>
          </w:p>
        </w:tc>
      </w:tr>
      <w:tr w:rsidR="005C33F4" w:rsidRPr="00960113" w14:paraId="28B124ED" w14:textId="77777777" w:rsidTr="004C43C9">
        <w:tc>
          <w:tcPr>
            <w:tcW w:w="794" w:type="dxa"/>
            <w:shd w:val="clear" w:color="auto" w:fill="F3F3F3"/>
          </w:tcPr>
          <w:p w14:paraId="0726F524" w14:textId="77777777" w:rsidR="005C33F4" w:rsidRPr="00960113" w:rsidRDefault="00B93B09" w:rsidP="003B39F2">
            <w:pPr>
              <w:pStyle w:val="boldtextTable"/>
              <w:rPr>
                <w:sz w:val="20"/>
                <w:szCs w:val="20"/>
              </w:rPr>
            </w:pPr>
            <w:r>
              <w:rPr>
                <w:sz w:val="20"/>
              </w:rPr>
              <w:t>5</w:t>
            </w:r>
          </w:p>
        </w:tc>
        <w:tc>
          <w:tcPr>
            <w:tcW w:w="7654" w:type="dxa"/>
            <w:shd w:val="clear" w:color="auto" w:fill="F3F3F3"/>
          </w:tcPr>
          <w:p w14:paraId="7C9722FE" w14:textId="77777777" w:rsidR="005C33F4" w:rsidRPr="00960113" w:rsidRDefault="005C33F4">
            <w:pPr>
              <w:pStyle w:val="Bodytextintable"/>
              <w:rPr>
                <w:sz w:val="20"/>
                <w:szCs w:val="20"/>
              </w:rPr>
            </w:pPr>
            <w:r>
              <w:rPr>
                <w:sz w:val="20"/>
              </w:rPr>
              <w:t>El gerente del PF efectúa una evaluación preliminar del informe y obtiene toda la información adicional necesaria para sustentar la acusación. El gerente del PF remite el informe, con las recomendaciones para los siguientes pasos, al Director Ejecutivo (DE) de la organización y a los jefes de departamento competentes (gestión de riesgos, ética, conformidad, jurídico, etc.).</w:t>
            </w:r>
          </w:p>
        </w:tc>
        <w:tc>
          <w:tcPr>
            <w:tcW w:w="1701" w:type="dxa"/>
            <w:shd w:val="clear" w:color="auto" w:fill="F3F3F3"/>
          </w:tcPr>
          <w:p w14:paraId="4D265DF6" w14:textId="77777777" w:rsidR="005C33F4" w:rsidRPr="00960113" w:rsidRDefault="005C33F4" w:rsidP="005C33F4">
            <w:pPr>
              <w:pStyle w:val="Bodytextcentralintable"/>
              <w:rPr>
                <w:sz w:val="20"/>
                <w:szCs w:val="20"/>
              </w:rPr>
            </w:pPr>
            <w:r>
              <w:rPr>
                <w:sz w:val="20"/>
              </w:rPr>
              <w:t>Gerente</w:t>
            </w:r>
          </w:p>
        </w:tc>
        <w:tc>
          <w:tcPr>
            <w:tcW w:w="1050" w:type="dxa"/>
            <w:shd w:val="clear" w:color="auto" w:fill="F3F3F3"/>
          </w:tcPr>
          <w:p w14:paraId="53EF9197" w14:textId="77777777" w:rsidR="005C33F4" w:rsidRPr="00960113" w:rsidRDefault="005C33F4" w:rsidP="005C33F4">
            <w:pPr>
              <w:pStyle w:val="Bodytextcentralintable"/>
              <w:rPr>
                <w:sz w:val="20"/>
                <w:szCs w:val="20"/>
              </w:rPr>
            </w:pPr>
            <w:r>
              <w:rPr>
                <w:sz w:val="20"/>
              </w:rPr>
              <w:t>4</w:t>
            </w:r>
          </w:p>
        </w:tc>
      </w:tr>
      <w:tr w:rsidR="005C33F4" w:rsidRPr="00960113" w14:paraId="58B8C141" w14:textId="77777777" w:rsidTr="004C43C9">
        <w:tc>
          <w:tcPr>
            <w:tcW w:w="794" w:type="dxa"/>
            <w:shd w:val="clear" w:color="auto" w:fill="F3F3F3"/>
          </w:tcPr>
          <w:p w14:paraId="2EE24E1F" w14:textId="77777777" w:rsidR="005C33F4" w:rsidRPr="00960113" w:rsidRDefault="00B93B09" w:rsidP="003B39F2">
            <w:pPr>
              <w:pStyle w:val="boldtextTable"/>
              <w:rPr>
                <w:sz w:val="20"/>
                <w:szCs w:val="20"/>
              </w:rPr>
            </w:pPr>
            <w:r>
              <w:rPr>
                <w:sz w:val="20"/>
              </w:rPr>
              <w:t>6</w:t>
            </w:r>
          </w:p>
        </w:tc>
        <w:tc>
          <w:tcPr>
            <w:tcW w:w="7654" w:type="dxa"/>
            <w:shd w:val="clear" w:color="auto" w:fill="F3F3F3"/>
          </w:tcPr>
          <w:p w14:paraId="3ADBD3AE" w14:textId="77777777" w:rsidR="005C33F4" w:rsidRPr="00960113" w:rsidRDefault="00792940" w:rsidP="00F447E3">
            <w:r>
              <w:rPr>
                <w:rFonts w:ascii="Arial" w:hAnsi="Arial"/>
                <w:sz w:val="20"/>
              </w:rPr>
              <w:t>El DE decide si debe remitir el informe a otras instancias internas o informar a la Oficina Nacional/Internacional de Auditorias e Investigaciones (OAI).</w:t>
            </w:r>
            <w:r>
              <w:t xml:space="preserve"> </w:t>
            </w:r>
          </w:p>
        </w:tc>
        <w:tc>
          <w:tcPr>
            <w:tcW w:w="1701" w:type="dxa"/>
            <w:shd w:val="clear" w:color="auto" w:fill="F3F3F3"/>
          </w:tcPr>
          <w:p w14:paraId="1E547A94" w14:textId="77777777" w:rsidR="005C33F4" w:rsidRPr="00960113" w:rsidRDefault="00792940" w:rsidP="005C33F4">
            <w:pPr>
              <w:pStyle w:val="Bodytextcentralintable"/>
              <w:rPr>
                <w:sz w:val="20"/>
                <w:szCs w:val="20"/>
              </w:rPr>
            </w:pPr>
            <w:r>
              <w:rPr>
                <w:sz w:val="20"/>
              </w:rPr>
              <w:t>DE</w:t>
            </w:r>
          </w:p>
        </w:tc>
        <w:tc>
          <w:tcPr>
            <w:tcW w:w="1050" w:type="dxa"/>
            <w:shd w:val="clear" w:color="auto" w:fill="F3F3F3"/>
          </w:tcPr>
          <w:p w14:paraId="29EF345E" w14:textId="77777777" w:rsidR="005C33F4" w:rsidRPr="00960113" w:rsidRDefault="005C33F4" w:rsidP="005C33F4">
            <w:pPr>
              <w:pStyle w:val="Bodytextcentralintable"/>
              <w:rPr>
                <w:sz w:val="20"/>
                <w:szCs w:val="20"/>
              </w:rPr>
            </w:pPr>
            <w:r>
              <w:rPr>
                <w:sz w:val="20"/>
              </w:rPr>
              <w:t>5</w:t>
            </w:r>
          </w:p>
        </w:tc>
      </w:tr>
      <w:tr w:rsidR="005C33F4" w:rsidRPr="00960113" w14:paraId="5B3EAB9E" w14:textId="77777777" w:rsidTr="004C43C9">
        <w:tc>
          <w:tcPr>
            <w:tcW w:w="794" w:type="dxa"/>
            <w:shd w:val="clear" w:color="auto" w:fill="F3F3F3"/>
          </w:tcPr>
          <w:p w14:paraId="42DAC2EA" w14:textId="77777777" w:rsidR="005C33F4" w:rsidRPr="00960113" w:rsidRDefault="00B93B09" w:rsidP="003B39F2">
            <w:pPr>
              <w:pStyle w:val="boldtextTable"/>
              <w:rPr>
                <w:sz w:val="20"/>
                <w:szCs w:val="20"/>
              </w:rPr>
            </w:pPr>
            <w:r>
              <w:rPr>
                <w:sz w:val="20"/>
              </w:rPr>
              <w:t>7</w:t>
            </w:r>
          </w:p>
        </w:tc>
        <w:tc>
          <w:tcPr>
            <w:tcW w:w="7654" w:type="dxa"/>
            <w:shd w:val="clear" w:color="auto" w:fill="F3F3F3"/>
          </w:tcPr>
          <w:p w14:paraId="5D745EDA" w14:textId="77777777" w:rsidR="005C33F4" w:rsidRPr="00960113" w:rsidRDefault="004748EF" w:rsidP="005C33F4">
            <w:pPr>
              <w:rPr>
                <w:rFonts w:ascii="Arial" w:hAnsi="Arial" w:cs="Arial"/>
                <w:sz w:val="20"/>
                <w:szCs w:val="20"/>
              </w:rPr>
            </w:pPr>
            <w:r>
              <w:rPr>
                <w:rFonts w:ascii="Arial" w:hAnsi="Arial"/>
                <w:sz w:val="20"/>
              </w:rPr>
              <w:t xml:space="preserve">El DE decide si debe informar a los donantes y asociados externos. Si se observan irregularidades reales o potenciales en programas del Fondo Mundial, se debe informar conjuntamente a la Oficina del Inspector General del Fondo (OIG) y al gerente del portafolio del Fondo en el país (GPF). Deben enviarse el formulario de notificación de casos de fraude y corrupción, la evaluación preliminar correspondiente y los documentos de apoyo. Un proyecto de plan inicial de respuesta debe definir las primeras actividades de investigación y mitigación de riesgos. </w:t>
            </w:r>
          </w:p>
        </w:tc>
        <w:tc>
          <w:tcPr>
            <w:tcW w:w="1701" w:type="dxa"/>
            <w:shd w:val="clear" w:color="auto" w:fill="F3F3F3"/>
          </w:tcPr>
          <w:p w14:paraId="5467B4D9" w14:textId="77777777" w:rsidR="005C33F4" w:rsidRPr="00960113" w:rsidRDefault="004748EF" w:rsidP="005C33F4">
            <w:pPr>
              <w:pStyle w:val="Bodytextcentralintable"/>
              <w:rPr>
                <w:sz w:val="20"/>
                <w:szCs w:val="20"/>
              </w:rPr>
            </w:pPr>
            <w:r>
              <w:rPr>
                <w:sz w:val="20"/>
              </w:rPr>
              <w:t>DE</w:t>
            </w:r>
          </w:p>
        </w:tc>
        <w:tc>
          <w:tcPr>
            <w:tcW w:w="1050" w:type="dxa"/>
            <w:shd w:val="clear" w:color="auto" w:fill="F3F3F3"/>
          </w:tcPr>
          <w:p w14:paraId="2991D900" w14:textId="77777777" w:rsidR="005C33F4" w:rsidRPr="00960113" w:rsidRDefault="005C33F4" w:rsidP="005C33F4">
            <w:pPr>
              <w:pStyle w:val="Bodytextcentralintable"/>
              <w:rPr>
                <w:sz w:val="20"/>
                <w:szCs w:val="20"/>
              </w:rPr>
            </w:pPr>
            <w:r>
              <w:rPr>
                <w:sz w:val="20"/>
              </w:rPr>
              <w:t>5</w:t>
            </w:r>
          </w:p>
        </w:tc>
      </w:tr>
      <w:tr w:rsidR="005C33F4" w:rsidRPr="00960113" w14:paraId="367F0A00" w14:textId="77777777" w:rsidTr="004C43C9">
        <w:tc>
          <w:tcPr>
            <w:tcW w:w="794" w:type="dxa"/>
            <w:shd w:val="clear" w:color="auto" w:fill="F3F3F3"/>
          </w:tcPr>
          <w:p w14:paraId="0E4AA557" w14:textId="77777777" w:rsidR="005C33F4" w:rsidRPr="00960113" w:rsidRDefault="00B93B09" w:rsidP="003B39F2">
            <w:pPr>
              <w:pStyle w:val="boldtextTable"/>
              <w:rPr>
                <w:sz w:val="20"/>
                <w:szCs w:val="20"/>
              </w:rPr>
            </w:pPr>
            <w:r>
              <w:rPr>
                <w:sz w:val="20"/>
              </w:rPr>
              <w:t>8</w:t>
            </w:r>
          </w:p>
        </w:tc>
        <w:tc>
          <w:tcPr>
            <w:tcW w:w="7654" w:type="dxa"/>
            <w:shd w:val="clear" w:color="auto" w:fill="F3F3F3"/>
          </w:tcPr>
          <w:p w14:paraId="60B5C562" w14:textId="77777777" w:rsidR="005C33F4" w:rsidRPr="00960113" w:rsidRDefault="004748EF" w:rsidP="005C33F4">
            <w:pPr>
              <w:rPr>
                <w:rFonts w:ascii="Arial" w:hAnsi="Arial" w:cs="Arial"/>
                <w:sz w:val="20"/>
                <w:szCs w:val="20"/>
              </w:rPr>
            </w:pPr>
            <w:r>
              <w:rPr>
                <w:rFonts w:ascii="Arial" w:hAnsi="Arial"/>
                <w:sz w:val="20"/>
              </w:rPr>
              <w:t>El DE y el gerente del PF evalúan la respuesta de la OIG del Fondo Mundial y tienen dos opciones:</w:t>
            </w:r>
          </w:p>
          <w:p w14:paraId="38622515" w14:textId="77777777" w:rsidR="005C33F4" w:rsidRPr="00960113" w:rsidRDefault="00A12057" w:rsidP="005C33F4">
            <w:pPr>
              <w:pStyle w:val="ListParagraph"/>
              <w:widowControl/>
              <w:numPr>
                <w:ilvl w:val="0"/>
                <w:numId w:val="1"/>
              </w:numPr>
              <w:autoSpaceDE/>
              <w:autoSpaceDN/>
              <w:spacing w:line="260" w:lineRule="exact"/>
              <w:contextualSpacing/>
              <w:jc w:val="both"/>
              <w:rPr>
                <w:rFonts w:ascii="Arial" w:hAnsi="Arial" w:cs="Arial"/>
                <w:sz w:val="20"/>
                <w:szCs w:val="20"/>
              </w:rPr>
            </w:pPr>
            <w:r>
              <w:rPr>
                <w:rFonts w:ascii="Arial" w:hAnsi="Arial"/>
                <w:sz w:val="20"/>
              </w:rPr>
              <w:t>la OIG acepta que continúe la investigación interna del DE en contacto continuado con ella en los plazos propuestos y acordados;</w:t>
            </w:r>
          </w:p>
          <w:p w14:paraId="2835605C" w14:textId="77777777" w:rsidR="005C33F4" w:rsidRPr="00960113" w:rsidRDefault="005C33F4" w:rsidP="005C33F4">
            <w:pPr>
              <w:pStyle w:val="ListParagraph"/>
              <w:ind w:left="360"/>
              <w:rPr>
                <w:rFonts w:ascii="Arial" w:hAnsi="Arial" w:cs="Arial"/>
                <w:sz w:val="20"/>
                <w:szCs w:val="20"/>
              </w:rPr>
            </w:pPr>
            <w:r>
              <w:rPr>
                <w:rFonts w:ascii="Arial" w:hAnsi="Arial"/>
                <w:sz w:val="20"/>
              </w:rPr>
              <w:t>o</w:t>
            </w:r>
          </w:p>
          <w:p w14:paraId="22BE7913" w14:textId="77777777" w:rsidR="005C33F4" w:rsidRPr="00960113" w:rsidRDefault="00A12057" w:rsidP="005C33F4">
            <w:pPr>
              <w:pStyle w:val="ListParagraph"/>
              <w:numPr>
                <w:ilvl w:val="0"/>
                <w:numId w:val="1"/>
              </w:numPr>
              <w:rPr>
                <w:sz w:val="20"/>
                <w:szCs w:val="20"/>
              </w:rPr>
            </w:pPr>
            <w:r>
              <w:rPr>
                <w:rFonts w:ascii="Arial" w:hAnsi="Arial"/>
                <w:sz w:val="20"/>
              </w:rPr>
              <w:t>la OIG requiere que se suspendan las actividades de investigación a la espera de una nueva evaluación y manteniéndose el contacto con ella.</w:t>
            </w:r>
          </w:p>
        </w:tc>
        <w:tc>
          <w:tcPr>
            <w:tcW w:w="1701" w:type="dxa"/>
            <w:shd w:val="clear" w:color="auto" w:fill="F3F3F3"/>
          </w:tcPr>
          <w:p w14:paraId="0037849B" w14:textId="77777777" w:rsidR="005C33F4" w:rsidRPr="00960113" w:rsidRDefault="004748EF" w:rsidP="005C33F4">
            <w:pPr>
              <w:pStyle w:val="Bodytextcentralintable"/>
              <w:rPr>
                <w:sz w:val="20"/>
                <w:szCs w:val="20"/>
              </w:rPr>
            </w:pPr>
            <w:r>
              <w:rPr>
                <w:sz w:val="20"/>
              </w:rPr>
              <w:t>DE</w:t>
            </w:r>
          </w:p>
          <w:p w14:paraId="6CE6D259" w14:textId="77777777" w:rsidR="005C33F4" w:rsidRPr="00960113" w:rsidRDefault="005C33F4" w:rsidP="005C33F4">
            <w:pPr>
              <w:pStyle w:val="Bodytextcentralintable"/>
              <w:rPr>
                <w:sz w:val="20"/>
                <w:szCs w:val="20"/>
              </w:rPr>
            </w:pPr>
            <w:r>
              <w:rPr>
                <w:sz w:val="20"/>
              </w:rPr>
              <w:t xml:space="preserve">y </w:t>
            </w:r>
          </w:p>
          <w:p w14:paraId="6E208855" w14:textId="77777777" w:rsidR="005C33F4" w:rsidRPr="00960113" w:rsidRDefault="005C33F4" w:rsidP="005C33F4">
            <w:pPr>
              <w:pStyle w:val="Bodytextcentralintable"/>
              <w:rPr>
                <w:sz w:val="20"/>
                <w:szCs w:val="20"/>
              </w:rPr>
            </w:pPr>
            <w:r>
              <w:rPr>
                <w:sz w:val="20"/>
              </w:rPr>
              <w:t>Gerente del PF</w:t>
            </w:r>
          </w:p>
        </w:tc>
        <w:tc>
          <w:tcPr>
            <w:tcW w:w="1050" w:type="dxa"/>
            <w:shd w:val="clear" w:color="auto" w:fill="F3F3F3"/>
          </w:tcPr>
          <w:p w14:paraId="711B1199" w14:textId="77777777" w:rsidR="005C33F4" w:rsidRPr="00960113" w:rsidRDefault="005C33F4" w:rsidP="005C33F4">
            <w:pPr>
              <w:pStyle w:val="Bodytextcentralintable"/>
              <w:rPr>
                <w:sz w:val="20"/>
                <w:szCs w:val="20"/>
              </w:rPr>
            </w:pPr>
            <w:r>
              <w:rPr>
                <w:sz w:val="20"/>
              </w:rPr>
              <w:t>8</w:t>
            </w:r>
          </w:p>
        </w:tc>
      </w:tr>
      <w:tr w:rsidR="005C33F4" w:rsidRPr="00960113" w14:paraId="70AB162E" w14:textId="77777777" w:rsidTr="004C43C9">
        <w:tc>
          <w:tcPr>
            <w:tcW w:w="794" w:type="dxa"/>
            <w:shd w:val="clear" w:color="auto" w:fill="F3F3F3"/>
          </w:tcPr>
          <w:p w14:paraId="42AF7FBC" w14:textId="77777777" w:rsidR="005C33F4" w:rsidRPr="00960113" w:rsidRDefault="00B93B09" w:rsidP="003B39F2">
            <w:pPr>
              <w:pStyle w:val="boldtextTable"/>
              <w:rPr>
                <w:sz w:val="20"/>
                <w:szCs w:val="20"/>
              </w:rPr>
            </w:pPr>
            <w:r>
              <w:rPr>
                <w:sz w:val="20"/>
              </w:rPr>
              <w:t>9</w:t>
            </w:r>
          </w:p>
        </w:tc>
        <w:tc>
          <w:tcPr>
            <w:tcW w:w="7654" w:type="dxa"/>
            <w:shd w:val="clear" w:color="auto" w:fill="F3F3F3"/>
          </w:tcPr>
          <w:p w14:paraId="61C4320D" w14:textId="77777777" w:rsidR="005C33F4" w:rsidRPr="00960113" w:rsidRDefault="00A12057">
            <w:pPr>
              <w:rPr>
                <w:rFonts w:ascii="Arial" w:hAnsi="Arial" w:cs="Arial"/>
                <w:sz w:val="20"/>
                <w:szCs w:val="20"/>
              </w:rPr>
            </w:pPr>
            <w:r>
              <w:rPr>
                <w:rFonts w:ascii="Arial" w:hAnsi="Arial"/>
                <w:sz w:val="20"/>
              </w:rPr>
              <w:t>Con la opción 8a: El gerente del PF y el PF continúan la investigación y el plan de mitigación de riesgos para medidas internas. El resultado del plan se remite a la OIG del Fondo Mundial.</w:t>
            </w:r>
          </w:p>
        </w:tc>
        <w:tc>
          <w:tcPr>
            <w:tcW w:w="1701" w:type="dxa"/>
            <w:shd w:val="clear" w:color="auto" w:fill="F3F3F3"/>
          </w:tcPr>
          <w:p w14:paraId="3EC105FF" w14:textId="77777777" w:rsidR="005C33F4" w:rsidRPr="00960113" w:rsidRDefault="004748EF" w:rsidP="005C33F4">
            <w:pPr>
              <w:pStyle w:val="Bodytextcentralintable"/>
              <w:rPr>
                <w:sz w:val="20"/>
                <w:szCs w:val="20"/>
              </w:rPr>
            </w:pPr>
            <w:r>
              <w:rPr>
                <w:sz w:val="20"/>
              </w:rPr>
              <w:t>Gerente del PF y PF</w:t>
            </w:r>
          </w:p>
        </w:tc>
        <w:tc>
          <w:tcPr>
            <w:tcW w:w="1050" w:type="dxa"/>
            <w:shd w:val="clear" w:color="auto" w:fill="F3F3F3"/>
          </w:tcPr>
          <w:p w14:paraId="0E0FE959" w14:textId="77777777" w:rsidR="005C33F4" w:rsidRPr="00960113" w:rsidRDefault="005C33F4" w:rsidP="005C33F4">
            <w:pPr>
              <w:pStyle w:val="Bodytextcentralintable"/>
              <w:rPr>
                <w:sz w:val="20"/>
                <w:szCs w:val="20"/>
              </w:rPr>
            </w:pPr>
            <w:r>
              <w:rPr>
                <w:sz w:val="20"/>
              </w:rPr>
              <w:t>30</w:t>
            </w:r>
          </w:p>
          <w:p w14:paraId="1377A96A" w14:textId="77777777" w:rsidR="00A12057" w:rsidRPr="00960113" w:rsidRDefault="00A12057" w:rsidP="005C33F4">
            <w:pPr>
              <w:pStyle w:val="Bodytextcentralintable"/>
              <w:rPr>
                <w:sz w:val="20"/>
                <w:szCs w:val="20"/>
              </w:rPr>
            </w:pPr>
            <w:r>
              <w:rPr>
                <w:sz w:val="20"/>
              </w:rPr>
              <w:t>días</w:t>
            </w:r>
          </w:p>
        </w:tc>
      </w:tr>
      <w:tr w:rsidR="005C33F4" w:rsidRPr="00960113" w14:paraId="5DB7EA7E" w14:textId="77777777" w:rsidTr="004C43C9">
        <w:tc>
          <w:tcPr>
            <w:tcW w:w="794" w:type="dxa"/>
            <w:shd w:val="clear" w:color="auto" w:fill="F3F3F3"/>
          </w:tcPr>
          <w:p w14:paraId="6E7ED845" w14:textId="77777777" w:rsidR="005C33F4" w:rsidRPr="00960113" w:rsidRDefault="00B93B09" w:rsidP="003B39F2">
            <w:pPr>
              <w:pStyle w:val="boldtextTable"/>
              <w:rPr>
                <w:sz w:val="20"/>
                <w:szCs w:val="20"/>
              </w:rPr>
            </w:pPr>
            <w:r>
              <w:rPr>
                <w:sz w:val="20"/>
              </w:rPr>
              <w:t>10</w:t>
            </w:r>
          </w:p>
        </w:tc>
        <w:tc>
          <w:tcPr>
            <w:tcW w:w="7654" w:type="dxa"/>
            <w:shd w:val="clear" w:color="auto" w:fill="F3F3F3"/>
          </w:tcPr>
          <w:p w14:paraId="133BCF1F" w14:textId="77777777" w:rsidR="005C33F4" w:rsidRPr="00960113" w:rsidRDefault="00A12057" w:rsidP="005C33F4">
            <w:pPr>
              <w:rPr>
                <w:rFonts w:ascii="Arial" w:hAnsi="Arial" w:cs="Arial"/>
                <w:sz w:val="20"/>
                <w:szCs w:val="20"/>
              </w:rPr>
            </w:pPr>
            <w:r>
              <w:rPr>
                <w:rFonts w:ascii="Arial" w:hAnsi="Arial"/>
                <w:sz w:val="20"/>
              </w:rPr>
              <w:t xml:space="preserve">Con la opción 8b: La OIG comunica al DE su propuesta de solución (investigación o plan de auditoría) </w:t>
            </w:r>
          </w:p>
        </w:tc>
        <w:tc>
          <w:tcPr>
            <w:tcW w:w="1701" w:type="dxa"/>
            <w:shd w:val="clear" w:color="auto" w:fill="F3F3F3"/>
          </w:tcPr>
          <w:p w14:paraId="78859C12" w14:textId="77777777" w:rsidR="005C33F4" w:rsidRPr="00960113" w:rsidRDefault="005C33F4" w:rsidP="005C33F4">
            <w:pPr>
              <w:pStyle w:val="Bodytextcentralintable"/>
              <w:rPr>
                <w:sz w:val="20"/>
                <w:szCs w:val="20"/>
              </w:rPr>
            </w:pPr>
            <w:r>
              <w:rPr>
                <w:sz w:val="20"/>
              </w:rPr>
              <w:t>OIG</w:t>
            </w:r>
          </w:p>
        </w:tc>
        <w:tc>
          <w:tcPr>
            <w:tcW w:w="1050" w:type="dxa"/>
            <w:shd w:val="clear" w:color="auto" w:fill="F3F3F3"/>
          </w:tcPr>
          <w:p w14:paraId="38C14724" w14:textId="77777777" w:rsidR="005C33F4" w:rsidRPr="00960113" w:rsidRDefault="005C33F4" w:rsidP="005C33F4">
            <w:pPr>
              <w:pStyle w:val="Bodytextcentralintable"/>
              <w:rPr>
                <w:sz w:val="20"/>
                <w:szCs w:val="20"/>
              </w:rPr>
            </w:pPr>
            <w:r>
              <w:rPr>
                <w:sz w:val="20"/>
              </w:rPr>
              <w:t>30</w:t>
            </w:r>
          </w:p>
          <w:p w14:paraId="69D2F96E" w14:textId="77777777" w:rsidR="00A12057" w:rsidRPr="00960113" w:rsidRDefault="00A12057" w:rsidP="005C33F4">
            <w:pPr>
              <w:pStyle w:val="Bodytextcentralintable"/>
              <w:rPr>
                <w:sz w:val="20"/>
                <w:szCs w:val="20"/>
              </w:rPr>
            </w:pPr>
            <w:r>
              <w:rPr>
                <w:sz w:val="20"/>
              </w:rPr>
              <w:t>días</w:t>
            </w:r>
          </w:p>
        </w:tc>
      </w:tr>
      <w:tr w:rsidR="005C33F4" w:rsidRPr="00960113" w14:paraId="3F5CA758" w14:textId="77777777" w:rsidTr="004C43C9">
        <w:tc>
          <w:tcPr>
            <w:tcW w:w="794" w:type="dxa"/>
            <w:shd w:val="clear" w:color="auto" w:fill="F3F3F3"/>
          </w:tcPr>
          <w:p w14:paraId="73ABD570" w14:textId="77777777" w:rsidR="005C33F4" w:rsidRPr="00960113" w:rsidRDefault="00B93B09" w:rsidP="003B39F2">
            <w:pPr>
              <w:pStyle w:val="boldtextTable"/>
              <w:rPr>
                <w:sz w:val="20"/>
                <w:szCs w:val="20"/>
              </w:rPr>
            </w:pPr>
            <w:r>
              <w:rPr>
                <w:sz w:val="20"/>
              </w:rPr>
              <w:t>11</w:t>
            </w:r>
          </w:p>
        </w:tc>
        <w:tc>
          <w:tcPr>
            <w:tcW w:w="7654" w:type="dxa"/>
            <w:shd w:val="clear" w:color="auto" w:fill="F3F3F3"/>
          </w:tcPr>
          <w:p w14:paraId="22281895" w14:textId="77777777" w:rsidR="005C33F4" w:rsidRPr="00960113" w:rsidRDefault="00A12057">
            <w:pPr>
              <w:rPr>
                <w:rFonts w:ascii="Arial" w:hAnsi="Arial" w:cs="Arial"/>
                <w:sz w:val="20"/>
                <w:szCs w:val="20"/>
              </w:rPr>
            </w:pPr>
            <w:r>
              <w:rPr>
                <w:rFonts w:ascii="Arial" w:hAnsi="Arial"/>
                <w:sz w:val="20"/>
              </w:rPr>
              <w:t>Si la OIG efectúa una investigación completa, puede incluir una investigación conjunta con la organización. Se publican los resultados de la investigación completa y se comunica el cierre administrativo a la organización.</w:t>
            </w:r>
          </w:p>
        </w:tc>
        <w:tc>
          <w:tcPr>
            <w:tcW w:w="1701" w:type="dxa"/>
            <w:shd w:val="clear" w:color="auto" w:fill="F3F3F3"/>
          </w:tcPr>
          <w:p w14:paraId="7743DF5F" w14:textId="77777777" w:rsidR="005C33F4" w:rsidRPr="00960113" w:rsidRDefault="005C33F4" w:rsidP="005C33F4">
            <w:pPr>
              <w:pStyle w:val="Bodytextcentralintable"/>
              <w:rPr>
                <w:sz w:val="20"/>
                <w:szCs w:val="20"/>
              </w:rPr>
            </w:pPr>
            <w:r>
              <w:rPr>
                <w:sz w:val="20"/>
              </w:rPr>
              <w:t>OIG</w:t>
            </w:r>
          </w:p>
        </w:tc>
        <w:tc>
          <w:tcPr>
            <w:tcW w:w="1050" w:type="dxa"/>
            <w:shd w:val="clear" w:color="auto" w:fill="F3F3F3"/>
          </w:tcPr>
          <w:p w14:paraId="01DD3827" w14:textId="77777777" w:rsidR="005C33F4" w:rsidRPr="00960113" w:rsidRDefault="005C33F4" w:rsidP="005C33F4">
            <w:pPr>
              <w:pStyle w:val="Bodytextcentralintable"/>
              <w:rPr>
                <w:sz w:val="20"/>
                <w:szCs w:val="20"/>
              </w:rPr>
            </w:pPr>
            <w:r>
              <w:rPr>
                <w:sz w:val="20"/>
              </w:rPr>
              <w:t>30</w:t>
            </w:r>
          </w:p>
          <w:p w14:paraId="1EBFCE5E" w14:textId="77777777" w:rsidR="005C33F4" w:rsidRPr="00960113" w:rsidRDefault="005C33F4" w:rsidP="005C33F4">
            <w:pPr>
              <w:pStyle w:val="Bodytextcentralintable"/>
              <w:rPr>
                <w:sz w:val="20"/>
                <w:szCs w:val="20"/>
              </w:rPr>
            </w:pPr>
            <w:r>
              <w:rPr>
                <w:sz w:val="20"/>
              </w:rPr>
              <w:t>semanas</w:t>
            </w:r>
          </w:p>
        </w:tc>
      </w:tr>
      <w:tr w:rsidR="005C33F4" w:rsidRPr="00960113" w14:paraId="63AC2B0F" w14:textId="77777777" w:rsidTr="004C43C9">
        <w:tc>
          <w:tcPr>
            <w:tcW w:w="794" w:type="dxa"/>
            <w:shd w:val="clear" w:color="auto" w:fill="F3F3F3"/>
          </w:tcPr>
          <w:p w14:paraId="608CB87A" w14:textId="77777777" w:rsidR="005C33F4" w:rsidRPr="00960113" w:rsidRDefault="00B93B09" w:rsidP="003B39F2">
            <w:pPr>
              <w:pStyle w:val="boldtextTable"/>
              <w:rPr>
                <w:sz w:val="20"/>
                <w:szCs w:val="20"/>
              </w:rPr>
            </w:pPr>
            <w:r>
              <w:rPr>
                <w:sz w:val="20"/>
              </w:rPr>
              <w:t>12</w:t>
            </w:r>
          </w:p>
        </w:tc>
        <w:tc>
          <w:tcPr>
            <w:tcW w:w="7654" w:type="dxa"/>
            <w:shd w:val="clear" w:color="auto" w:fill="F3F3F3"/>
          </w:tcPr>
          <w:p w14:paraId="118E148A" w14:textId="77777777" w:rsidR="005C33F4" w:rsidRPr="00960113" w:rsidRDefault="00A12057">
            <w:pPr>
              <w:rPr>
                <w:rFonts w:ascii="Arial" w:hAnsi="Arial" w:cs="Arial"/>
                <w:sz w:val="20"/>
                <w:szCs w:val="20"/>
              </w:rPr>
            </w:pPr>
            <w:r>
              <w:rPr>
                <w:rFonts w:ascii="Arial" w:hAnsi="Arial"/>
                <w:sz w:val="20"/>
              </w:rPr>
              <w:t xml:space="preserve">La investigación de la OIG se publica en línea junto con la Política para la publicación de informes del Fondo Global emitida por el Inspector General </w:t>
            </w:r>
          </w:p>
        </w:tc>
        <w:tc>
          <w:tcPr>
            <w:tcW w:w="1701" w:type="dxa"/>
            <w:shd w:val="clear" w:color="auto" w:fill="F3F3F3"/>
          </w:tcPr>
          <w:p w14:paraId="12B69B0C" w14:textId="77777777" w:rsidR="005C33F4" w:rsidRPr="00960113" w:rsidRDefault="005C33F4" w:rsidP="005C33F4">
            <w:pPr>
              <w:pStyle w:val="Bodytextcentralintable"/>
              <w:rPr>
                <w:sz w:val="20"/>
                <w:szCs w:val="20"/>
              </w:rPr>
            </w:pPr>
            <w:r>
              <w:rPr>
                <w:sz w:val="20"/>
              </w:rPr>
              <w:t>OIG</w:t>
            </w:r>
          </w:p>
        </w:tc>
        <w:tc>
          <w:tcPr>
            <w:tcW w:w="1050" w:type="dxa"/>
            <w:shd w:val="clear" w:color="auto" w:fill="F3F3F3"/>
          </w:tcPr>
          <w:p w14:paraId="0266D595" w14:textId="77777777" w:rsidR="005C33F4" w:rsidRPr="00960113" w:rsidRDefault="005C33F4" w:rsidP="005C33F4">
            <w:pPr>
              <w:pStyle w:val="Bodytextcentralintable"/>
              <w:rPr>
                <w:sz w:val="20"/>
                <w:szCs w:val="20"/>
              </w:rPr>
            </w:pPr>
            <w:r>
              <w:rPr>
                <w:sz w:val="20"/>
              </w:rPr>
              <w:t xml:space="preserve">30 </w:t>
            </w:r>
          </w:p>
          <w:p w14:paraId="3E1C6DC6" w14:textId="77777777" w:rsidR="005C33F4" w:rsidRPr="00960113" w:rsidRDefault="005C33F4" w:rsidP="005C33F4">
            <w:pPr>
              <w:pStyle w:val="Bodytextcentralintable"/>
              <w:rPr>
                <w:sz w:val="20"/>
                <w:szCs w:val="20"/>
              </w:rPr>
            </w:pPr>
            <w:r>
              <w:rPr>
                <w:sz w:val="20"/>
              </w:rPr>
              <w:t>semanas</w:t>
            </w:r>
          </w:p>
        </w:tc>
      </w:tr>
    </w:tbl>
    <w:p w14:paraId="213974EB" w14:textId="59BBDD2D" w:rsidR="00A12057" w:rsidRPr="00960113" w:rsidRDefault="00A12057" w:rsidP="005C33F4">
      <w:bookmarkStart w:id="0" w:name="_GoBack"/>
      <w:bookmarkEnd w:id="0"/>
    </w:p>
    <w:p w14:paraId="34471B23" w14:textId="77777777" w:rsidR="00A12057" w:rsidRPr="00FD4432" w:rsidRDefault="00A12057">
      <w:pPr>
        <w:rPr>
          <w:rFonts w:ascii="Arial" w:hAnsi="Arial" w:cs="Arial"/>
          <w:sz w:val="18"/>
          <w:szCs w:val="18"/>
        </w:rPr>
      </w:pPr>
      <w:r w:rsidRPr="00FD4432">
        <w:rPr>
          <w:rFonts w:ascii="Arial" w:hAnsi="Arial"/>
          <w:sz w:val="18"/>
          <w:szCs w:val="18"/>
        </w:rPr>
        <w:t xml:space="preserve"> </w:t>
      </w:r>
      <w:r w:rsidRPr="00FD4432">
        <w:rPr>
          <w:rFonts w:ascii="Arial" w:hAnsi="Arial"/>
          <w:sz w:val="18"/>
          <w:szCs w:val="18"/>
          <w:highlight w:val="yellow"/>
        </w:rPr>
        <w:t>*Basado en materiales de Catholic Relief Services (¿enlace?)</w:t>
      </w:r>
    </w:p>
    <w:sectPr w:rsidR="00A12057" w:rsidRPr="00FD4432" w:rsidSect="004D7916">
      <w:headerReference w:type="default" r:id="rId10"/>
      <w:footerReference w:type="default" r:id="rId11"/>
      <w:pgSz w:w="11910" w:h="16840"/>
      <w:pgMar w:top="440" w:right="340" w:bottom="920" w:left="340" w:header="0" w:footer="141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E42398" w14:textId="77777777" w:rsidR="00A12057" w:rsidRDefault="00A12057">
      <w:r>
        <w:separator/>
      </w:r>
    </w:p>
  </w:endnote>
  <w:endnote w:type="continuationSeparator" w:id="0">
    <w:p w14:paraId="75836A99" w14:textId="77777777" w:rsidR="00A12057" w:rsidRDefault="00A12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003" w:usb1="00000000" w:usb2="00000000" w:usb3="00000000" w:csb0="00000001" w:csb1="00000000"/>
  </w:font>
  <w:font w:name="Roboto">
    <w:altName w:val="Times New Roman"/>
    <w:panose1 w:val="02000000000000000000"/>
    <w:charset w:val="00"/>
    <w:family w:val="auto"/>
    <w:pitch w:val="variable"/>
    <w:sig w:usb0="E0000AFF" w:usb1="5000217F" w:usb2="00000021" w:usb3="00000000" w:csb0="0000019F" w:csb1="00000000"/>
  </w:font>
  <w:font w:name="Arial">
    <w:panose1 w:val="020B0604020202020204"/>
    <w:charset w:val="00"/>
    <w:family w:val="auto"/>
    <w:pitch w:val="variable"/>
    <w:sig w:usb0="E0002AFF" w:usb1="C0007843"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496B3" w14:textId="77777777" w:rsidR="00A12057" w:rsidRDefault="00FD4432">
    <w:pPr>
      <w:pStyle w:val="BodyText"/>
      <w:spacing w:line="14" w:lineRule="auto"/>
      <w:rPr>
        <w:i/>
        <w:sz w:val="20"/>
      </w:rPr>
    </w:pPr>
    <w:r w:rsidRPr="008B4E41">
      <w:rPr>
        <w:noProof/>
        <w:sz w:val="40"/>
        <w:szCs w:val="40"/>
        <w:lang w:val="en-US" w:eastAsia="en-US" w:bidi="ar-SA"/>
      </w:rPr>
      <w:drawing>
        <wp:anchor distT="0" distB="0" distL="114300" distR="114300" simplePos="0" relativeHeight="251659264" behindDoc="0" locked="0" layoutInCell="1" allowOverlap="1" wp14:anchorId="666A00C4" wp14:editId="0BAC45EF">
          <wp:simplePos x="0" y="0"/>
          <wp:positionH relativeFrom="column">
            <wp:posOffset>4399915</wp:posOffset>
          </wp:positionH>
          <wp:positionV relativeFrom="paragraph">
            <wp:posOffset>213995</wp:posOffset>
          </wp:positionV>
          <wp:extent cx="2666407" cy="457200"/>
          <wp:effectExtent l="0" t="0" r="635" b="0"/>
          <wp:wrapNone/>
          <wp:docPr id="2" name="Picture 1" descr="Copy of OIG-logo-es-CMY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Copy of OIG-logo-es-CMYK.eps"/>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66407" cy="4572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E86F17" w14:textId="77777777" w:rsidR="00A12057" w:rsidRDefault="00A12057">
      <w:r>
        <w:separator/>
      </w:r>
    </w:p>
  </w:footnote>
  <w:footnote w:type="continuationSeparator" w:id="0">
    <w:p w14:paraId="040CEC8F" w14:textId="77777777" w:rsidR="00A12057" w:rsidRDefault="00A1205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BF9BD3" w14:textId="77777777" w:rsidR="0084074D" w:rsidRPr="00FD4432" w:rsidRDefault="00FD4432" w:rsidP="00FD4432">
    <w:pPr>
      <w:pStyle w:val="Header"/>
    </w:pPr>
    <w:r>
      <w:rPr>
        <w:noProof/>
        <w:lang w:val="en-US" w:eastAsia="en-US" w:bidi="ar-SA"/>
      </w:rPr>
      <w:drawing>
        <wp:anchor distT="0" distB="0" distL="114300" distR="114300" simplePos="0" relativeHeight="251661312" behindDoc="0" locked="0" layoutInCell="1" allowOverlap="1" wp14:anchorId="45CBA8CB" wp14:editId="31175022">
          <wp:simplePos x="0" y="0"/>
          <wp:positionH relativeFrom="column">
            <wp:posOffset>69850</wp:posOffset>
          </wp:positionH>
          <wp:positionV relativeFrom="paragraph">
            <wp:posOffset>10223500</wp:posOffset>
          </wp:positionV>
          <wp:extent cx="251655" cy="242498"/>
          <wp:effectExtent l="0" t="0" r="2540" b="1206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655" cy="24249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83DEB"/>
    <w:multiLevelType w:val="hybridMultilevel"/>
    <w:tmpl w:val="C6E00B42"/>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73DA4756"/>
    <w:multiLevelType w:val="hybridMultilevel"/>
    <w:tmpl w:val="F2041E76"/>
    <w:lvl w:ilvl="0" w:tplc="08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doNotShadeFormData/>
  <w:characterSpacingControl w:val="doNotCompress"/>
  <w:hdrShapeDefaults>
    <o:shapedefaults v:ext="edit" spidmax="2051"/>
  </w:hdrShapeDefaults>
  <w:footnotePr>
    <w:footnote w:id="-1"/>
    <w:footnote w:id="0"/>
  </w:footnotePr>
  <w:endnotePr>
    <w:endnote w:id="-1"/>
    <w:endnote w:id="0"/>
  </w:endnotePr>
  <w:compat>
    <w:ulTrailSpace/>
    <w:compatSetting w:name="compatibilityMode" w:uri="http://schemas.microsoft.com/office/word" w:val="12"/>
  </w:compat>
  <w:rsids>
    <w:rsidRoot w:val="00DA25B2"/>
    <w:rsid w:val="0010084B"/>
    <w:rsid w:val="00165E52"/>
    <w:rsid w:val="00187BEB"/>
    <w:rsid w:val="002B6CA4"/>
    <w:rsid w:val="00380FC9"/>
    <w:rsid w:val="003B39F2"/>
    <w:rsid w:val="003F3914"/>
    <w:rsid w:val="004748EF"/>
    <w:rsid w:val="004A0723"/>
    <w:rsid w:val="004C43C9"/>
    <w:rsid w:val="004D7916"/>
    <w:rsid w:val="004F47A2"/>
    <w:rsid w:val="005C33F4"/>
    <w:rsid w:val="00616AED"/>
    <w:rsid w:val="006B5406"/>
    <w:rsid w:val="00792940"/>
    <w:rsid w:val="007E23F0"/>
    <w:rsid w:val="0084074D"/>
    <w:rsid w:val="008530AC"/>
    <w:rsid w:val="00960113"/>
    <w:rsid w:val="009C4798"/>
    <w:rsid w:val="009E4374"/>
    <w:rsid w:val="00A01D5A"/>
    <w:rsid w:val="00A12057"/>
    <w:rsid w:val="00A13924"/>
    <w:rsid w:val="00A744ED"/>
    <w:rsid w:val="00A772DF"/>
    <w:rsid w:val="00AF3A48"/>
    <w:rsid w:val="00B93B09"/>
    <w:rsid w:val="00D06029"/>
    <w:rsid w:val="00D80060"/>
    <w:rsid w:val="00D97C93"/>
    <w:rsid w:val="00DA25B2"/>
    <w:rsid w:val="00DD5C01"/>
    <w:rsid w:val="00E86CF4"/>
    <w:rsid w:val="00F447E3"/>
    <w:rsid w:val="00FA1753"/>
    <w:rsid w:val="00FD44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03AE9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s-ES" w:bidi="es-ES"/>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D06029"/>
    <w:rPr>
      <w:rFonts w:ascii="Georgia" w:eastAsia="Roboto" w:hAnsi="Georgia" w:cs="Robo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3F3914"/>
    <w:pPr>
      <w:spacing w:before="5" w:after="1"/>
      <w:ind w:right="-57"/>
    </w:pPr>
    <w:rPr>
      <w:rFonts w:ascii="Arial" w:hAnsi="Arial"/>
    </w:rPr>
  </w:style>
  <w:style w:type="paragraph" w:styleId="ListParagraph">
    <w:name w:val="List Paragraph"/>
    <w:basedOn w:val="Normal"/>
    <w:uiPriority w:val="34"/>
    <w:qFormat/>
    <w:rsid w:val="00D06029"/>
  </w:style>
  <w:style w:type="paragraph" w:customStyle="1" w:styleId="TableParagraph">
    <w:name w:val="Table Paragraph"/>
    <w:basedOn w:val="Normal"/>
    <w:uiPriority w:val="1"/>
    <w:qFormat/>
    <w:rsid w:val="00D06029"/>
    <w:pPr>
      <w:ind w:left="170"/>
    </w:pPr>
  </w:style>
  <w:style w:type="paragraph" w:styleId="BalloonText">
    <w:name w:val="Balloon Text"/>
    <w:basedOn w:val="Normal"/>
    <w:link w:val="BalloonTextChar"/>
    <w:uiPriority w:val="99"/>
    <w:semiHidden/>
    <w:unhideWhenUsed/>
    <w:rsid w:val="00A01D5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01D5A"/>
    <w:rPr>
      <w:rFonts w:ascii="Lucida Grande" w:eastAsia="Roboto" w:hAnsi="Lucida Grande" w:cs="Lucida Grande"/>
      <w:sz w:val="18"/>
      <w:szCs w:val="18"/>
    </w:rPr>
  </w:style>
  <w:style w:type="paragraph" w:styleId="Header">
    <w:name w:val="header"/>
    <w:basedOn w:val="Normal"/>
    <w:link w:val="HeaderChar"/>
    <w:uiPriority w:val="99"/>
    <w:unhideWhenUsed/>
    <w:rsid w:val="00A01D5A"/>
    <w:pPr>
      <w:tabs>
        <w:tab w:val="center" w:pos="4320"/>
        <w:tab w:val="right" w:pos="8640"/>
      </w:tabs>
    </w:pPr>
  </w:style>
  <w:style w:type="character" w:customStyle="1" w:styleId="HeaderChar">
    <w:name w:val="Header Char"/>
    <w:basedOn w:val="DefaultParagraphFont"/>
    <w:link w:val="Header"/>
    <w:uiPriority w:val="99"/>
    <w:rsid w:val="00A01D5A"/>
    <w:rPr>
      <w:rFonts w:ascii="Roboto" w:eastAsia="Roboto" w:hAnsi="Roboto" w:cs="Roboto"/>
    </w:rPr>
  </w:style>
  <w:style w:type="paragraph" w:styleId="Footer">
    <w:name w:val="footer"/>
    <w:basedOn w:val="Normal"/>
    <w:link w:val="FooterChar"/>
    <w:uiPriority w:val="99"/>
    <w:unhideWhenUsed/>
    <w:rsid w:val="00A01D5A"/>
    <w:pPr>
      <w:tabs>
        <w:tab w:val="center" w:pos="4320"/>
        <w:tab w:val="right" w:pos="8640"/>
      </w:tabs>
    </w:pPr>
  </w:style>
  <w:style w:type="character" w:customStyle="1" w:styleId="FooterChar">
    <w:name w:val="Footer Char"/>
    <w:basedOn w:val="DefaultParagraphFont"/>
    <w:link w:val="Footer"/>
    <w:uiPriority w:val="99"/>
    <w:rsid w:val="00A01D5A"/>
    <w:rPr>
      <w:rFonts w:ascii="Roboto" w:eastAsia="Roboto" w:hAnsi="Roboto" w:cs="Roboto"/>
    </w:rPr>
  </w:style>
  <w:style w:type="table" w:styleId="TableGrid">
    <w:name w:val="Table Grid"/>
    <w:basedOn w:val="TableNormal"/>
    <w:uiPriority w:val="59"/>
    <w:rsid w:val="004D79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tiontitle">
    <w:name w:val="Section title"/>
    <w:uiPriority w:val="1"/>
    <w:qFormat/>
    <w:rsid w:val="002B6CA4"/>
    <w:rPr>
      <w:rFonts w:ascii="Arial" w:eastAsia="Roboto" w:hAnsi="Arial" w:cs="Arial"/>
      <w:b/>
      <w:sz w:val="26"/>
      <w:szCs w:val="26"/>
    </w:rPr>
  </w:style>
  <w:style w:type="paragraph" w:customStyle="1" w:styleId="Bodytextintable">
    <w:name w:val="Body text in table"/>
    <w:uiPriority w:val="1"/>
    <w:qFormat/>
    <w:rsid w:val="002B6CA4"/>
    <w:rPr>
      <w:rFonts w:ascii="Arial" w:eastAsia="Roboto" w:hAnsi="Arial" w:cs="Arial"/>
    </w:rPr>
  </w:style>
  <w:style w:type="paragraph" w:customStyle="1" w:styleId="ItalicsTable">
    <w:name w:val="Italics Table"/>
    <w:uiPriority w:val="1"/>
    <w:qFormat/>
    <w:rsid w:val="002B6CA4"/>
    <w:rPr>
      <w:rFonts w:ascii="Arial" w:eastAsia="Roboto" w:hAnsi="Arial" w:cs="Arial"/>
      <w:i/>
    </w:rPr>
  </w:style>
  <w:style w:type="paragraph" w:customStyle="1" w:styleId="Titleofthedocument">
    <w:name w:val="Title of the document"/>
    <w:uiPriority w:val="1"/>
    <w:qFormat/>
    <w:rsid w:val="002B6CA4"/>
    <w:pPr>
      <w:spacing w:before="82"/>
      <w:ind w:left="122" w:right="101"/>
      <w:jc w:val="center"/>
    </w:pPr>
    <w:rPr>
      <w:rFonts w:ascii="Arial" w:eastAsia="Roboto" w:hAnsi="Arial" w:cs="Arial"/>
      <w:sz w:val="60"/>
    </w:rPr>
  </w:style>
  <w:style w:type="paragraph" w:customStyle="1" w:styleId="ItalicsSubtitle">
    <w:name w:val="Italics Subtitle"/>
    <w:uiPriority w:val="1"/>
    <w:qFormat/>
    <w:rsid w:val="002B6CA4"/>
    <w:pPr>
      <w:spacing w:before="135" w:after="360" w:line="296" w:lineRule="exact"/>
      <w:ind w:left="23" w:hanging="23"/>
      <w:jc w:val="center"/>
    </w:pPr>
    <w:rPr>
      <w:rFonts w:ascii="Arial" w:eastAsia="Roboto" w:hAnsi="Arial" w:cs="Arial"/>
      <w:i/>
      <w:spacing w:val="6"/>
      <w:sz w:val="26"/>
      <w:szCs w:val="26"/>
    </w:rPr>
  </w:style>
  <w:style w:type="paragraph" w:customStyle="1" w:styleId="boldtextTable">
    <w:name w:val="bold text Table"/>
    <w:uiPriority w:val="1"/>
    <w:qFormat/>
    <w:rsid w:val="003B39F2"/>
    <w:pPr>
      <w:jc w:val="center"/>
    </w:pPr>
    <w:rPr>
      <w:rFonts w:ascii="Arial" w:eastAsia="Roboto" w:hAnsi="Arial" w:cs="Roboto"/>
      <w:b/>
    </w:rPr>
  </w:style>
  <w:style w:type="paragraph" w:customStyle="1" w:styleId="Bodytextcentralintable">
    <w:name w:val="Body text central in table"/>
    <w:basedOn w:val="Bodytextintable"/>
    <w:uiPriority w:val="1"/>
    <w:qFormat/>
    <w:rsid w:val="003B39F2"/>
    <w:pPr>
      <w:jc w:val="center"/>
    </w:pPr>
  </w:style>
  <w:style w:type="paragraph" w:customStyle="1" w:styleId="SubsectionTable">
    <w:name w:val="Subsection Table"/>
    <w:uiPriority w:val="1"/>
    <w:qFormat/>
    <w:rsid w:val="008530AC"/>
    <w:rPr>
      <w:rFonts w:ascii="Arial" w:eastAsia="Roboto" w:hAnsi="Arial" w:cs="Arial"/>
      <w: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1081A-0E24-7143-B764-89E7F0FAE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463</Words>
  <Characters>2642</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Media Frontier</Company>
  <LinksUpToDate>false</LinksUpToDate>
  <CharactersWithSpaces>3099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 Shapiro</dc:creator>
  <cp:keywords/>
  <dc:description/>
  <cp:lastModifiedBy>Juliette Schack</cp:lastModifiedBy>
  <cp:revision>3</cp:revision>
  <dcterms:created xsi:type="dcterms:W3CDTF">2017-05-10T14:46:00Z</dcterms:created>
  <dcterms:modified xsi:type="dcterms:W3CDTF">2017-05-10T15:07:00Z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2017-03-23T00:00:00Z</vt:filetime>
  </property>
  <property fmtid="{D5CDD505-2E9C-101B-9397-08002B2CF9AE}" pid="3" name="Creator">
    <vt:lpwstr>Adobe InDesign CC 2017 (Macintosh)</vt:lpwstr>
  </property>
  <property fmtid="{D5CDD505-2E9C-101B-9397-08002B2CF9AE}" pid="4" name="LastSaved">
    <vt:filetime>2017-03-23T00:00:00Z</vt:filetime>
  </property>
</Properties>
</file>