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ADF99" w14:textId="4BDC2872" w:rsidR="00792940" w:rsidRDefault="002C772B" w:rsidP="00B93B09">
      <w:pPr>
        <w:pStyle w:val="Titleofthedocument"/>
        <w:rPr>
          <w:lang w:val="en-GB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667E81C" wp14:editId="3A7165A1">
            <wp:simplePos x="0" y="0"/>
            <wp:positionH relativeFrom="column">
              <wp:posOffset>69850</wp:posOffset>
            </wp:positionH>
            <wp:positionV relativeFrom="paragraph">
              <wp:posOffset>0</wp:posOffset>
            </wp:positionV>
            <wp:extent cx="791405" cy="76262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405" cy="762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/>
        </w:rPr>
        <w:t xml:space="preserve">    </w:t>
      </w:r>
      <w:r w:rsidR="00792940">
        <w:rPr>
          <w:lang w:val="en-GB"/>
        </w:rPr>
        <w:t>Anti-</w:t>
      </w:r>
      <w:r w:rsidR="00B93B09" w:rsidRPr="00B93B09">
        <w:rPr>
          <w:lang w:val="en-GB"/>
        </w:rPr>
        <w:t xml:space="preserve">Fraud </w:t>
      </w:r>
      <w:r w:rsidR="00792940">
        <w:rPr>
          <w:lang w:val="en-GB"/>
        </w:rPr>
        <w:t xml:space="preserve">and Corruption </w:t>
      </w:r>
    </w:p>
    <w:p w14:paraId="45F4C946" w14:textId="32F336FA" w:rsidR="00616AED" w:rsidRDefault="002C772B" w:rsidP="00B93B09">
      <w:pPr>
        <w:pStyle w:val="Titleofthedocument"/>
        <w:rPr>
          <w:spacing w:val="2"/>
          <w:lang w:val="en-GB"/>
        </w:rPr>
      </w:pPr>
      <w:r>
        <w:rPr>
          <w:lang w:val="en-GB"/>
        </w:rPr>
        <w:t xml:space="preserve">      </w:t>
      </w:r>
      <w:r w:rsidR="00B93B09" w:rsidRPr="00B93B09">
        <w:rPr>
          <w:lang w:val="en-GB"/>
        </w:rPr>
        <w:t>Stakeholder Engagement Model</w:t>
      </w:r>
      <w:r w:rsidR="00D80060">
        <w:rPr>
          <w:lang w:val="en-GB"/>
        </w:rPr>
        <w:t>*</w:t>
      </w:r>
    </w:p>
    <w:p w14:paraId="63D2E6A8" w14:textId="77777777" w:rsidR="00B93B09" w:rsidRPr="003B39F2" w:rsidRDefault="00B93B09" w:rsidP="00B93B09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93"/>
        <w:gridCol w:w="8079"/>
        <w:gridCol w:w="1134"/>
        <w:gridCol w:w="993"/>
      </w:tblGrid>
      <w:tr w:rsidR="005C33F4" w:rsidRPr="003B39F2" w14:paraId="7A9DD405" w14:textId="77777777" w:rsidTr="00B93B09">
        <w:tc>
          <w:tcPr>
            <w:tcW w:w="993" w:type="dxa"/>
            <w:shd w:val="clear" w:color="auto" w:fill="E6E6E6"/>
          </w:tcPr>
          <w:p w14:paraId="2E910C8C" w14:textId="2D6F78B9" w:rsidR="005C33F4" w:rsidRPr="003B39F2" w:rsidRDefault="005C33F4" w:rsidP="005C33F4">
            <w:pPr>
              <w:pStyle w:val="boldtextTable"/>
              <w:rPr>
                <w:lang w:val="en-GB"/>
              </w:rPr>
            </w:pPr>
            <w:r>
              <w:t>Stage</w:t>
            </w:r>
          </w:p>
        </w:tc>
        <w:tc>
          <w:tcPr>
            <w:tcW w:w="8079" w:type="dxa"/>
            <w:shd w:val="clear" w:color="auto" w:fill="E6E6E6"/>
          </w:tcPr>
          <w:p w14:paraId="1620CF45" w14:textId="1DA98C6D" w:rsidR="005C33F4" w:rsidRPr="003B39F2" w:rsidRDefault="005C33F4" w:rsidP="003B39F2">
            <w:pPr>
              <w:pStyle w:val="boldtextTable"/>
              <w:rPr>
                <w:lang w:val="en-GB"/>
              </w:rPr>
            </w:pPr>
            <w:r>
              <w:t>Action</w:t>
            </w:r>
          </w:p>
        </w:tc>
        <w:tc>
          <w:tcPr>
            <w:tcW w:w="1134" w:type="dxa"/>
            <w:shd w:val="clear" w:color="auto" w:fill="E6E6E6"/>
          </w:tcPr>
          <w:p w14:paraId="03BC4FD4" w14:textId="2DAB0DB0" w:rsidR="005C33F4" w:rsidRPr="003B39F2" w:rsidRDefault="005C33F4" w:rsidP="005C33F4">
            <w:pPr>
              <w:pStyle w:val="boldtextTable"/>
              <w:rPr>
                <w:lang w:val="en-GB"/>
              </w:rPr>
            </w:pPr>
            <w:r>
              <w:t>Owner</w:t>
            </w:r>
          </w:p>
        </w:tc>
        <w:tc>
          <w:tcPr>
            <w:tcW w:w="993" w:type="dxa"/>
            <w:shd w:val="clear" w:color="auto" w:fill="E6E6E6"/>
          </w:tcPr>
          <w:p w14:paraId="6A4F2F9C" w14:textId="3ECBEA35" w:rsidR="005C33F4" w:rsidRPr="003B39F2" w:rsidRDefault="005C33F4" w:rsidP="003B39F2">
            <w:pPr>
              <w:pStyle w:val="boldtextTable"/>
              <w:rPr>
                <w:lang w:val="en-GB"/>
              </w:rPr>
            </w:pPr>
            <w:r w:rsidRPr="00D27E7A">
              <w:t>Day</w:t>
            </w:r>
          </w:p>
        </w:tc>
      </w:tr>
      <w:tr w:rsidR="00B93B09" w:rsidRPr="003B39F2" w14:paraId="6F2CFA75" w14:textId="77777777" w:rsidTr="00B93B09">
        <w:tc>
          <w:tcPr>
            <w:tcW w:w="993" w:type="dxa"/>
            <w:shd w:val="clear" w:color="auto" w:fill="F3F3F3"/>
          </w:tcPr>
          <w:p w14:paraId="06AA7D45" w14:textId="42CC5861" w:rsidR="005C33F4" w:rsidRPr="00B93B09" w:rsidRDefault="005C33F4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8079" w:type="dxa"/>
            <w:shd w:val="clear" w:color="auto" w:fill="F3F3F3"/>
          </w:tcPr>
          <w:p w14:paraId="3A2FF808" w14:textId="375E3486" w:rsidR="005C33F4" w:rsidRPr="00B93B09" w:rsidRDefault="00792940" w:rsidP="00616AED">
            <w:pPr>
              <w:pStyle w:val="Bodytextintable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Anti-</w:t>
            </w:r>
            <w:r w:rsidR="005C33F4" w:rsidRPr="00B93B09">
              <w:rPr>
                <w:sz w:val="20"/>
                <w:szCs w:val="20"/>
              </w:rPr>
              <w:t>Fraud</w:t>
            </w:r>
            <w:r>
              <w:rPr>
                <w:sz w:val="20"/>
                <w:szCs w:val="20"/>
              </w:rPr>
              <w:t xml:space="preserve"> and Corruption</w:t>
            </w:r>
            <w:r w:rsidR="005C33F4" w:rsidRPr="00B93B09">
              <w:rPr>
                <w:sz w:val="20"/>
                <w:szCs w:val="20"/>
              </w:rPr>
              <w:t xml:space="preserve"> Focal Point (FP) receives or identifies a report of fraud</w:t>
            </w:r>
            <w:r>
              <w:rPr>
                <w:sz w:val="20"/>
                <w:szCs w:val="20"/>
              </w:rPr>
              <w:t xml:space="preserve"> or corruption</w:t>
            </w:r>
            <w:r w:rsidR="00A1205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5D4B2532" w14:textId="3411BF7D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FP</w:t>
            </w:r>
          </w:p>
        </w:tc>
        <w:tc>
          <w:tcPr>
            <w:tcW w:w="993" w:type="dxa"/>
            <w:shd w:val="clear" w:color="auto" w:fill="F3F3F3"/>
          </w:tcPr>
          <w:p w14:paraId="26DEC449" w14:textId="3DFD97BB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</w:t>
            </w:r>
          </w:p>
        </w:tc>
      </w:tr>
      <w:tr w:rsidR="00B93B09" w:rsidRPr="003B39F2" w14:paraId="00495AFD" w14:textId="77777777" w:rsidTr="00B93B09">
        <w:tc>
          <w:tcPr>
            <w:tcW w:w="993" w:type="dxa"/>
            <w:shd w:val="clear" w:color="auto" w:fill="F3F3F3"/>
          </w:tcPr>
          <w:p w14:paraId="08486C3F" w14:textId="34676B56" w:rsidR="005C33F4" w:rsidRPr="00B93B09" w:rsidRDefault="005C33F4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8079" w:type="dxa"/>
            <w:shd w:val="clear" w:color="auto" w:fill="F3F3F3"/>
          </w:tcPr>
          <w:p w14:paraId="46A0F245" w14:textId="6DCCBAF1" w:rsidR="005C33F4" w:rsidRPr="00B93B09" w:rsidRDefault="005C33F4" w:rsidP="00616AED">
            <w:pPr>
              <w:pStyle w:val="Bodytext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</w:t>
            </w:r>
            <w:r w:rsidR="00792940">
              <w:rPr>
                <w:sz w:val="20"/>
                <w:szCs w:val="20"/>
              </w:rPr>
              <w:t>P</w:t>
            </w:r>
            <w:r w:rsidRPr="00B93B09">
              <w:rPr>
                <w:sz w:val="20"/>
                <w:szCs w:val="20"/>
              </w:rPr>
              <w:t xml:space="preserve"> ensures the</w:t>
            </w:r>
            <w:r w:rsidR="00792940">
              <w:rPr>
                <w:sz w:val="20"/>
                <w:szCs w:val="20"/>
              </w:rPr>
              <w:t xml:space="preserve"> Anti-</w:t>
            </w:r>
            <w:r w:rsidRPr="00B93B09">
              <w:rPr>
                <w:sz w:val="20"/>
                <w:szCs w:val="20"/>
              </w:rPr>
              <w:t>Fraud</w:t>
            </w:r>
            <w:r w:rsidR="00792940">
              <w:rPr>
                <w:sz w:val="20"/>
                <w:szCs w:val="20"/>
              </w:rPr>
              <w:t xml:space="preserve"> and Corruption</w:t>
            </w:r>
            <w:r w:rsidRPr="00B93B09">
              <w:rPr>
                <w:sz w:val="20"/>
                <w:szCs w:val="20"/>
              </w:rPr>
              <w:t xml:space="preserve"> Report</w:t>
            </w:r>
            <w:r w:rsidR="00566549">
              <w:rPr>
                <w:sz w:val="20"/>
                <w:szCs w:val="20"/>
              </w:rPr>
              <w:t>ing Template (Tool 5)</w:t>
            </w:r>
            <w:r w:rsidRPr="00B93B09">
              <w:rPr>
                <w:sz w:val="20"/>
                <w:szCs w:val="20"/>
              </w:rPr>
              <w:t xml:space="preserve"> is completed, and details registered in the </w:t>
            </w:r>
            <w:r w:rsidR="00792940">
              <w:rPr>
                <w:sz w:val="20"/>
                <w:szCs w:val="20"/>
              </w:rPr>
              <w:t>Anti-</w:t>
            </w:r>
            <w:r w:rsidRPr="00B93B09">
              <w:rPr>
                <w:sz w:val="20"/>
                <w:szCs w:val="20"/>
              </w:rPr>
              <w:t xml:space="preserve">Fraud </w:t>
            </w:r>
            <w:r w:rsidR="00792940">
              <w:rPr>
                <w:sz w:val="20"/>
                <w:szCs w:val="20"/>
              </w:rPr>
              <w:t xml:space="preserve">and Corruption </w:t>
            </w:r>
            <w:r w:rsidR="00566549">
              <w:rPr>
                <w:sz w:val="20"/>
                <w:szCs w:val="20"/>
              </w:rPr>
              <w:t>Incident Management Sheet (Tool 6)</w:t>
            </w:r>
            <w:r w:rsidR="00A1205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277B191C" w14:textId="40E5ACB2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FP</w:t>
            </w:r>
          </w:p>
        </w:tc>
        <w:tc>
          <w:tcPr>
            <w:tcW w:w="993" w:type="dxa"/>
            <w:shd w:val="clear" w:color="auto" w:fill="F3F3F3"/>
          </w:tcPr>
          <w:p w14:paraId="387F0B0F" w14:textId="44B2B753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</w:t>
            </w:r>
          </w:p>
        </w:tc>
      </w:tr>
      <w:tr w:rsidR="00B93B09" w:rsidRPr="003B39F2" w14:paraId="05A88839" w14:textId="77777777" w:rsidTr="00B93B09">
        <w:tc>
          <w:tcPr>
            <w:tcW w:w="993" w:type="dxa"/>
            <w:shd w:val="clear" w:color="auto" w:fill="F3F3F3"/>
          </w:tcPr>
          <w:p w14:paraId="222969A7" w14:textId="7E8DA3DF" w:rsidR="005C33F4" w:rsidRPr="00B93B09" w:rsidRDefault="005C33F4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8079" w:type="dxa"/>
            <w:shd w:val="clear" w:color="auto" w:fill="F3F3F3"/>
          </w:tcPr>
          <w:p w14:paraId="51BE0E52" w14:textId="461F008E" w:rsidR="005C33F4" w:rsidRPr="00B93B09" w:rsidRDefault="005C33F4" w:rsidP="00616AED">
            <w:pPr>
              <w:pStyle w:val="Bodytext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FP acknowledges receipt of the report with whistle-blower or business reporter and requests any further information necessary to make an initial assessment</w:t>
            </w:r>
            <w:r w:rsidR="00A1205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033851D5" w14:textId="2E6523E6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FP</w:t>
            </w:r>
          </w:p>
        </w:tc>
        <w:tc>
          <w:tcPr>
            <w:tcW w:w="993" w:type="dxa"/>
            <w:shd w:val="clear" w:color="auto" w:fill="F3F3F3"/>
          </w:tcPr>
          <w:p w14:paraId="22A81D64" w14:textId="172FD58E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2</w:t>
            </w:r>
          </w:p>
        </w:tc>
      </w:tr>
      <w:tr w:rsidR="00B93B09" w:rsidRPr="003B39F2" w14:paraId="6CAB6A71" w14:textId="77777777" w:rsidTr="00B93B09">
        <w:tc>
          <w:tcPr>
            <w:tcW w:w="993" w:type="dxa"/>
            <w:shd w:val="clear" w:color="auto" w:fill="F3F3F3"/>
          </w:tcPr>
          <w:p w14:paraId="385DC25D" w14:textId="1AD495DA" w:rsidR="005C33F4" w:rsidRPr="00B93B09" w:rsidRDefault="005C33F4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8079" w:type="dxa"/>
            <w:shd w:val="clear" w:color="auto" w:fill="F3F3F3"/>
          </w:tcPr>
          <w:p w14:paraId="235C9C04" w14:textId="2838F69B" w:rsidR="005C33F4" w:rsidRPr="00B93B09" w:rsidRDefault="005C33F4">
            <w:pPr>
              <w:pStyle w:val="Bodytext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 xml:space="preserve">FP conducts an initial review of the </w:t>
            </w:r>
            <w:r w:rsidR="00792940">
              <w:rPr>
                <w:sz w:val="20"/>
                <w:szCs w:val="20"/>
              </w:rPr>
              <w:t>r</w:t>
            </w:r>
            <w:r w:rsidRPr="00B93B09">
              <w:rPr>
                <w:sz w:val="20"/>
                <w:szCs w:val="20"/>
              </w:rPr>
              <w:t xml:space="preserve">eport and produces a written assessment with next step recommendations for </w:t>
            </w:r>
            <w:r w:rsidR="00792940">
              <w:rPr>
                <w:sz w:val="20"/>
                <w:szCs w:val="20"/>
              </w:rPr>
              <w:t>his or her</w:t>
            </w:r>
            <w:r w:rsidRPr="00B93B09">
              <w:rPr>
                <w:sz w:val="20"/>
                <w:szCs w:val="20"/>
              </w:rPr>
              <w:t xml:space="preserve"> </w:t>
            </w:r>
            <w:r w:rsidR="00792940">
              <w:rPr>
                <w:sz w:val="20"/>
                <w:szCs w:val="20"/>
              </w:rPr>
              <w:t>m</w:t>
            </w:r>
            <w:r w:rsidRPr="00B93B09">
              <w:rPr>
                <w:sz w:val="20"/>
                <w:szCs w:val="20"/>
              </w:rPr>
              <w:t>anager</w:t>
            </w:r>
            <w:r w:rsidR="00A1205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32DA1CE5" w14:textId="2C59669C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FP</w:t>
            </w:r>
          </w:p>
        </w:tc>
        <w:tc>
          <w:tcPr>
            <w:tcW w:w="993" w:type="dxa"/>
            <w:shd w:val="clear" w:color="auto" w:fill="F3F3F3"/>
          </w:tcPr>
          <w:p w14:paraId="7493560E" w14:textId="2120595E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3</w:t>
            </w:r>
          </w:p>
        </w:tc>
      </w:tr>
      <w:tr w:rsidR="005C33F4" w:rsidRPr="003B39F2" w14:paraId="0E3310E8" w14:textId="77777777" w:rsidTr="00B93B09">
        <w:tc>
          <w:tcPr>
            <w:tcW w:w="993" w:type="dxa"/>
            <w:shd w:val="clear" w:color="auto" w:fill="F3F3F3"/>
          </w:tcPr>
          <w:p w14:paraId="08F5219D" w14:textId="00DB4033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8079" w:type="dxa"/>
            <w:shd w:val="clear" w:color="auto" w:fill="F3F3F3"/>
          </w:tcPr>
          <w:p w14:paraId="3F172E85" w14:textId="60102B8F" w:rsidR="005C33F4" w:rsidRPr="00B93B09" w:rsidRDefault="005C33F4">
            <w:pPr>
              <w:pStyle w:val="Bodytext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 xml:space="preserve">FP Manager conducts a preliminary assessment of the </w:t>
            </w:r>
            <w:r w:rsidR="00792940">
              <w:rPr>
                <w:sz w:val="20"/>
                <w:szCs w:val="20"/>
              </w:rPr>
              <w:t>r</w:t>
            </w:r>
            <w:r w:rsidRPr="00B93B09">
              <w:rPr>
                <w:sz w:val="20"/>
                <w:szCs w:val="20"/>
              </w:rPr>
              <w:t>eport and secures any additional information necessar</w:t>
            </w:r>
            <w:r w:rsidR="00B93B09">
              <w:rPr>
                <w:sz w:val="20"/>
                <w:szCs w:val="20"/>
              </w:rPr>
              <w:t xml:space="preserve">y to support the </w:t>
            </w:r>
            <w:r w:rsidRPr="00B93B09">
              <w:rPr>
                <w:sz w:val="20"/>
                <w:szCs w:val="20"/>
              </w:rPr>
              <w:t>allegation. The FP</w:t>
            </w:r>
            <w:r w:rsidR="00566549">
              <w:rPr>
                <w:sz w:val="20"/>
                <w:szCs w:val="20"/>
              </w:rPr>
              <w:t>’s</w:t>
            </w:r>
            <w:r w:rsidRPr="00B93B09">
              <w:rPr>
                <w:sz w:val="20"/>
                <w:szCs w:val="20"/>
              </w:rPr>
              <w:t xml:space="preserve"> Manager escalates t</w:t>
            </w:r>
            <w:r w:rsidR="00B93B09">
              <w:rPr>
                <w:sz w:val="20"/>
                <w:szCs w:val="20"/>
              </w:rPr>
              <w:t xml:space="preserve">he </w:t>
            </w:r>
            <w:r w:rsidR="00792940">
              <w:rPr>
                <w:sz w:val="20"/>
                <w:szCs w:val="20"/>
              </w:rPr>
              <w:t>r</w:t>
            </w:r>
            <w:r w:rsidR="00B93B09">
              <w:rPr>
                <w:sz w:val="20"/>
                <w:szCs w:val="20"/>
              </w:rPr>
              <w:t xml:space="preserve">eport, with next step </w:t>
            </w:r>
            <w:r w:rsidRPr="00B93B09">
              <w:rPr>
                <w:sz w:val="20"/>
                <w:szCs w:val="20"/>
              </w:rPr>
              <w:t>recommendations to the</w:t>
            </w:r>
            <w:r w:rsidR="00792940">
              <w:rPr>
                <w:sz w:val="20"/>
                <w:szCs w:val="20"/>
              </w:rPr>
              <w:t xml:space="preserve"> organization’s Executive Director</w:t>
            </w:r>
            <w:r w:rsidRPr="00B93B09">
              <w:rPr>
                <w:sz w:val="20"/>
                <w:szCs w:val="20"/>
              </w:rPr>
              <w:t xml:space="preserve"> </w:t>
            </w:r>
            <w:r w:rsidR="00792940">
              <w:rPr>
                <w:sz w:val="20"/>
                <w:szCs w:val="20"/>
              </w:rPr>
              <w:t xml:space="preserve">(ED) </w:t>
            </w:r>
            <w:r w:rsidRPr="00B93B09">
              <w:rPr>
                <w:sz w:val="20"/>
                <w:szCs w:val="20"/>
              </w:rPr>
              <w:t>and associated department heads (</w:t>
            </w:r>
            <w:r w:rsidR="00792940">
              <w:rPr>
                <w:sz w:val="20"/>
                <w:szCs w:val="20"/>
              </w:rPr>
              <w:t>r</w:t>
            </w:r>
            <w:r w:rsidRPr="00B93B09">
              <w:rPr>
                <w:sz w:val="20"/>
                <w:szCs w:val="20"/>
              </w:rPr>
              <w:t xml:space="preserve">isk, </w:t>
            </w:r>
            <w:r w:rsidR="00792940">
              <w:rPr>
                <w:sz w:val="20"/>
                <w:szCs w:val="20"/>
              </w:rPr>
              <w:t xml:space="preserve">ethics, </w:t>
            </w:r>
            <w:r w:rsidRPr="00B93B09">
              <w:rPr>
                <w:sz w:val="20"/>
                <w:szCs w:val="20"/>
              </w:rPr>
              <w:t>compliance, legal etc</w:t>
            </w:r>
            <w:r w:rsidR="00792940">
              <w:rPr>
                <w:sz w:val="20"/>
                <w:szCs w:val="20"/>
              </w:rPr>
              <w:t>.</w:t>
            </w:r>
            <w:r w:rsidRPr="00B93B09">
              <w:rPr>
                <w:sz w:val="20"/>
                <w:szCs w:val="20"/>
              </w:rPr>
              <w:t>).</w:t>
            </w:r>
          </w:p>
        </w:tc>
        <w:tc>
          <w:tcPr>
            <w:tcW w:w="1134" w:type="dxa"/>
            <w:shd w:val="clear" w:color="auto" w:fill="F3F3F3"/>
          </w:tcPr>
          <w:p w14:paraId="77607DC7" w14:textId="2867C018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Manager</w:t>
            </w:r>
          </w:p>
        </w:tc>
        <w:tc>
          <w:tcPr>
            <w:tcW w:w="993" w:type="dxa"/>
            <w:shd w:val="clear" w:color="auto" w:fill="F3F3F3"/>
          </w:tcPr>
          <w:p w14:paraId="4BC636D9" w14:textId="2C3BC759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4</w:t>
            </w:r>
          </w:p>
        </w:tc>
      </w:tr>
      <w:tr w:rsidR="005C33F4" w:rsidRPr="003B39F2" w14:paraId="4850AFD0" w14:textId="77777777" w:rsidTr="00B93B09">
        <w:tc>
          <w:tcPr>
            <w:tcW w:w="993" w:type="dxa"/>
            <w:shd w:val="clear" w:color="auto" w:fill="F3F3F3"/>
          </w:tcPr>
          <w:p w14:paraId="5D3F7D05" w14:textId="763A8F4F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8079" w:type="dxa"/>
            <w:shd w:val="clear" w:color="auto" w:fill="F3F3F3"/>
          </w:tcPr>
          <w:p w14:paraId="67AC110A" w14:textId="54126FEC" w:rsidR="005C33F4" w:rsidRPr="00B93B09" w:rsidRDefault="00792940" w:rsidP="00627F53">
            <w:r w:rsidRPr="00F447E3">
              <w:rPr>
                <w:rFonts w:ascii="Arial" w:hAnsi="Arial" w:cs="Arial"/>
                <w:sz w:val="20"/>
                <w:szCs w:val="20"/>
              </w:rPr>
              <w:t>ED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decide</w:t>
            </w:r>
            <w:r w:rsidR="004748EF">
              <w:rPr>
                <w:rFonts w:ascii="Arial" w:hAnsi="Arial" w:cs="Arial"/>
                <w:sz w:val="20"/>
                <w:szCs w:val="20"/>
              </w:rPr>
              <w:t>s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on further internal escalation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 or whether t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inform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National/International Office of Audit &amp; Investigations</w:t>
            </w:r>
            <w:r w:rsidRPr="00F447E3">
              <w:rPr>
                <w:rFonts w:ascii="Arial" w:hAnsi="Arial" w:cs="Arial"/>
                <w:sz w:val="20"/>
                <w:szCs w:val="20"/>
              </w:rPr>
              <w:t>.</w:t>
            </w:r>
            <w:r w:rsidR="005C33F4" w:rsidRPr="00B93B09"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4F169FDF" w14:textId="5BD95341" w:rsidR="005C33F4" w:rsidRPr="00B93B09" w:rsidRDefault="00792940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ED</w:t>
            </w:r>
          </w:p>
        </w:tc>
        <w:tc>
          <w:tcPr>
            <w:tcW w:w="993" w:type="dxa"/>
            <w:shd w:val="clear" w:color="auto" w:fill="F3F3F3"/>
          </w:tcPr>
          <w:p w14:paraId="320015CA" w14:textId="5636823C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5</w:t>
            </w:r>
          </w:p>
        </w:tc>
      </w:tr>
      <w:tr w:rsidR="005C33F4" w:rsidRPr="003B39F2" w14:paraId="7E7F96B5" w14:textId="77777777" w:rsidTr="00B93B09">
        <w:tc>
          <w:tcPr>
            <w:tcW w:w="993" w:type="dxa"/>
            <w:shd w:val="clear" w:color="auto" w:fill="F3F3F3"/>
          </w:tcPr>
          <w:p w14:paraId="1D335819" w14:textId="3F98BF0A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7</w:t>
            </w:r>
          </w:p>
        </w:tc>
        <w:tc>
          <w:tcPr>
            <w:tcW w:w="8079" w:type="dxa"/>
            <w:shd w:val="clear" w:color="auto" w:fill="F3F3F3"/>
          </w:tcPr>
          <w:p w14:paraId="55C77666" w14:textId="1A658787" w:rsidR="005C33F4" w:rsidRPr="00187BEB" w:rsidRDefault="004748EF" w:rsidP="005C33F4">
            <w:pPr>
              <w:rPr>
                <w:rFonts w:ascii="Arial" w:hAnsi="Arial" w:cs="Arial"/>
                <w:sz w:val="20"/>
                <w:szCs w:val="20"/>
              </w:rPr>
            </w:pPr>
            <w:r w:rsidRPr="00F447E3">
              <w:rPr>
                <w:rFonts w:ascii="Arial" w:hAnsi="Arial" w:cs="Arial"/>
                <w:sz w:val="20"/>
                <w:szCs w:val="20"/>
              </w:rPr>
              <w:t>ED</w:t>
            </w:r>
            <w:r w:rsidR="00187B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determine</w:t>
            </w:r>
            <w:r w:rsidRPr="00F447E3">
              <w:rPr>
                <w:rFonts w:ascii="Arial" w:hAnsi="Arial" w:cs="Arial"/>
                <w:sz w:val="20"/>
                <w:szCs w:val="20"/>
              </w:rPr>
              <w:t>s whether to inform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external donors and partners.</w:t>
            </w:r>
            <w:r w:rsidR="00187B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Where actual or potential 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wrongdoing is identified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in Global Fund programs, the 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Global Fund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Office of Inspector General (OIG) and Country Fund P</w:t>
            </w:r>
            <w:r w:rsidRPr="00F447E3">
              <w:rPr>
                <w:rFonts w:ascii="Arial" w:hAnsi="Arial" w:cs="Arial"/>
                <w:sz w:val="20"/>
                <w:szCs w:val="20"/>
              </w:rPr>
              <w:t>ortfolio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Manager (FPM) must be jointly informed. </w:t>
            </w:r>
            <w:r w:rsidRPr="00F447E3">
              <w:rPr>
                <w:rFonts w:ascii="Arial" w:hAnsi="Arial" w:cs="Arial"/>
                <w:sz w:val="20"/>
                <w:szCs w:val="20"/>
              </w:rPr>
              <w:t>Anti-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Fraud 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and Corruption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Report</w:t>
            </w:r>
            <w:r w:rsidR="00566549">
              <w:rPr>
                <w:rFonts w:ascii="Arial" w:hAnsi="Arial" w:cs="Arial"/>
                <w:sz w:val="20"/>
                <w:szCs w:val="20"/>
              </w:rPr>
              <w:t>ing Template (Tool 5)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, associated preliminary assessment, and supporting documents </w:t>
            </w:r>
            <w:proofErr w:type="gramStart"/>
            <w:r w:rsidRPr="00F447E3">
              <w:rPr>
                <w:rFonts w:ascii="Arial" w:hAnsi="Arial" w:cs="Arial"/>
                <w:sz w:val="20"/>
                <w:szCs w:val="20"/>
              </w:rPr>
              <w:t>should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be submitted</w:t>
            </w:r>
            <w:proofErr w:type="gramEnd"/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. An initial draft response plan should set out proposed initial </w:t>
            </w:r>
            <w:r w:rsidRPr="00F447E3">
              <w:rPr>
                <w:rFonts w:ascii="Arial" w:hAnsi="Arial" w:cs="Arial"/>
                <w:sz w:val="20"/>
                <w:szCs w:val="20"/>
              </w:rPr>
              <w:t>fact-finding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and risk mitigation actions. </w:t>
            </w:r>
          </w:p>
        </w:tc>
        <w:tc>
          <w:tcPr>
            <w:tcW w:w="1134" w:type="dxa"/>
            <w:shd w:val="clear" w:color="auto" w:fill="F3F3F3"/>
          </w:tcPr>
          <w:p w14:paraId="6015F8B0" w14:textId="6926F224" w:rsidR="005C33F4" w:rsidRPr="00B93B09" w:rsidRDefault="004748EF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ED</w:t>
            </w:r>
          </w:p>
        </w:tc>
        <w:tc>
          <w:tcPr>
            <w:tcW w:w="993" w:type="dxa"/>
            <w:shd w:val="clear" w:color="auto" w:fill="F3F3F3"/>
          </w:tcPr>
          <w:p w14:paraId="45F260FD" w14:textId="437358CC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5</w:t>
            </w:r>
          </w:p>
        </w:tc>
      </w:tr>
      <w:tr w:rsidR="005C33F4" w:rsidRPr="003B39F2" w14:paraId="06EB47D0" w14:textId="77777777" w:rsidTr="00B93B09">
        <w:tc>
          <w:tcPr>
            <w:tcW w:w="993" w:type="dxa"/>
            <w:shd w:val="clear" w:color="auto" w:fill="F3F3F3"/>
          </w:tcPr>
          <w:p w14:paraId="58B9DC03" w14:textId="61E5B2E1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lastRenderedPageBreak/>
              <w:t>8</w:t>
            </w:r>
          </w:p>
        </w:tc>
        <w:tc>
          <w:tcPr>
            <w:tcW w:w="8079" w:type="dxa"/>
            <w:shd w:val="clear" w:color="auto" w:fill="F3F3F3"/>
          </w:tcPr>
          <w:p w14:paraId="0B2E9C2E" w14:textId="710866C8" w:rsidR="005C33F4" w:rsidRDefault="004748EF" w:rsidP="005C33F4">
            <w:pPr>
              <w:rPr>
                <w:rFonts w:ascii="Arial" w:hAnsi="Arial" w:cs="Arial"/>
                <w:sz w:val="20"/>
                <w:szCs w:val="20"/>
              </w:rPr>
            </w:pPr>
            <w:r w:rsidRPr="00F447E3">
              <w:rPr>
                <w:rFonts w:ascii="Arial" w:hAnsi="Arial" w:cs="Arial"/>
                <w:sz w:val="20"/>
                <w:szCs w:val="20"/>
              </w:rPr>
              <w:t xml:space="preserve">ED,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with FP Manager</w:t>
            </w:r>
            <w:r w:rsidRPr="00F447E3">
              <w:rPr>
                <w:rFonts w:ascii="Arial" w:hAnsi="Arial" w:cs="Arial"/>
                <w:sz w:val="20"/>
                <w:szCs w:val="20"/>
              </w:rPr>
              <w:t>,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assesses response from the Global Fund OIG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has two options:</w:t>
            </w:r>
          </w:p>
          <w:p w14:paraId="162A4B3C" w14:textId="076DC780" w:rsidR="005C33F4" w:rsidRPr="00566549" w:rsidRDefault="00A12057" w:rsidP="005665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66549">
              <w:rPr>
                <w:rFonts w:ascii="Arial" w:hAnsi="Arial" w:cs="Arial"/>
                <w:sz w:val="20"/>
                <w:szCs w:val="20"/>
              </w:rPr>
              <w:t>t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>he OIG a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>gree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>s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 xml:space="preserve">to further 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 xml:space="preserve">internal 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>fact-finding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 xml:space="preserve"> by 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>the ED</w:t>
            </w:r>
            <w:r w:rsidR="00566549">
              <w:rPr>
                <w:rFonts w:ascii="Arial" w:hAnsi="Arial" w:cs="Arial"/>
                <w:sz w:val="20"/>
                <w:szCs w:val="20"/>
              </w:rPr>
              <w:t>, with continued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 xml:space="preserve"> liaison with </w:t>
            </w:r>
            <w:r w:rsidR="004748EF" w:rsidRPr="00566549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C33F4" w:rsidRPr="00566549">
              <w:rPr>
                <w:rFonts w:ascii="Arial" w:hAnsi="Arial" w:cs="Arial"/>
                <w:sz w:val="20"/>
                <w:szCs w:val="20"/>
              </w:rPr>
              <w:t>OIG within proposed and agreed timelines</w:t>
            </w:r>
            <w:r w:rsidRPr="00566549">
              <w:rPr>
                <w:rFonts w:ascii="Arial" w:hAnsi="Arial" w:cs="Arial"/>
                <w:sz w:val="20"/>
                <w:szCs w:val="20"/>
              </w:rPr>
              <w:t>;</w:t>
            </w:r>
            <w:r w:rsidR="00566549" w:rsidRPr="00566549">
              <w:rPr>
                <w:rFonts w:ascii="Arial" w:hAnsi="Arial" w:cs="Arial"/>
                <w:sz w:val="20"/>
                <w:szCs w:val="20"/>
              </w:rPr>
              <w:t xml:space="preserve"> or</w:t>
            </w:r>
          </w:p>
          <w:p w14:paraId="6D3A3EB2" w14:textId="68F097A6" w:rsidR="005C33F4" w:rsidRPr="00B93B09" w:rsidRDefault="00A12057" w:rsidP="005C33F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4748EF">
              <w:rPr>
                <w:rFonts w:ascii="Arial" w:hAnsi="Arial" w:cs="Arial"/>
                <w:sz w:val="20"/>
                <w:szCs w:val="20"/>
              </w:rPr>
              <w:t>he</w:t>
            </w:r>
            <w:proofErr w:type="gramEnd"/>
            <w:r w:rsidR="004748EF">
              <w:rPr>
                <w:rFonts w:ascii="Arial" w:hAnsi="Arial" w:cs="Arial"/>
                <w:sz w:val="20"/>
                <w:szCs w:val="20"/>
              </w:rPr>
              <w:t xml:space="preserve"> OIG r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equire</w:t>
            </w:r>
            <w:r w:rsidR="004748EF">
              <w:rPr>
                <w:rFonts w:ascii="Arial" w:hAnsi="Arial" w:cs="Arial"/>
                <w:sz w:val="20"/>
                <w:szCs w:val="20"/>
              </w:rPr>
              <w:t>s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8EF" w:rsidRPr="00F447E3">
              <w:rPr>
                <w:rFonts w:ascii="Arial" w:hAnsi="Arial" w:cs="Arial"/>
                <w:sz w:val="20"/>
                <w:szCs w:val="20"/>
              </w:rPr>
              <w:t>fact-finding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activity</w:t>
            </w:r>
            <w:r w:rsidR="00F447E3">
              <w:rPr>
                <w:rFonts w:ascii="Arial" w:hAnsi="Arial" w:cs="Arial"/>
                <w:sz w:val="20"/>
                <w:szCs w:val="20"/>
              </w:rPr>
              <w:t xml:space="preserve"> to be suspended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pending further assessment and liaison with OIG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4B3C12E2" w14:textId="237A7E71" w:rsidR="005C33F4" w:rsidRPr="00B93B09" w:rsidRDefault="004748EF" w:rsidP="005C33F4">
            <w:pPr>
              <w:pStyle w:val="Bodytextcentralintab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</w:t>
            </w:r>
          </w:p>
          <w:p w14:paraId="5AAD3341" w14:textId="77777777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 xml:space="preserve">&amp; </w:t>
            </w:r>
          </w:p>
          <w:p w14:paraId="6E842A2C" w14:textId="2D5170C5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FP Manager</w:t>
            </w:r>
          </w:p>
        </w:tc>
        <w:tc>
          <w:tcPr>
            <w:tcW w:w="993" w:type="dxa"/>
            <w:shd w:val="clear" w:color="auto" w:fill="F3F3F3"/>
          </w:tcPr>
          <w:p w14:paraId="5F52CF65" w14:textId="18CA3722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8</w:t>
            </w:r>
          </w:p>
        </w:tc>
      </w:tr>
      <w:tr w:rsidR="005C33F4" w:rsidRPr="003B39F2" w14:paraId="3597F9CB" w14:textId="77777777" w:rsidTr="00B93B09">
        <w:tc>
          <w:tcPr>
            <w:tcW w:w="993" w:type="dxa"/>
            <w:shd w:val="clear" w:color="auto" w:fill="F3F3F3"/>
          </w:tcPr>
          <w:p w14:paraId="4E75C782" w14:textId="440C502F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8079" w:type="dxa"/>
            <w:shd w:val="clear" w:color="auto" w:fill="F3F3F3"/>
          </w:tcPr>
          <w:p w14:paraId="17739C52" w14:textId="46492717" w:rsidR="005C33F4" w:rsidRPr="00F447E3" w:rsidRDefault="00A12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stage 8a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FP Manager and FP </w:t>
            </w:r>
            <w:r w:rsidR="004748EF">
              <w:rPr>
                <w:rFonts w:ascii="Arial" w:hAnsi="Arial" w:cs="Arial"/>
                <w:sz w:val="20"/>
                <w:szCs w:val="20"/>
              </w:rPr>
              <w:t>continue fact-finding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and risk mitigation plan for internal action. Outcome of </w:t>
            </w:r>
            <w:r w:rsidR="004748EF">
              <w:rPr>
                <w:rFonts w:ascii="Arial" w:hAnsi="Arial" w:cs="Arial"/>
                <w:sz w:val="20"/>
                <w:szCs w:val="20"/>
              </w:rPr>
              <w:t xml:space="preserve">plan </w:t>
            </w:r>
            <w:r>
              <w:rPr>
                <w:rFonts w:ascii="Arial" w:hAnsi="Arial" w:cs="Arial"/>
                <w:sz w:val="20"/>
                <w:szCs w:val="20"/>
              </w:rPr>
              <w:t>sent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back to </w:t>
            </w:r>
            <w:r w:rsidR="004748E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Global Fund OIG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3F3F3"/>
          </w:tcPr>
          <w:p w14:paraId="4940C450" w14:textId="7F6D79E3" w:rsidR="005C33F4" w:rsidRPr="00B93B09" w:rsidRDefault="004748EF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FP Manager and FP</w:t>
            </w:r>
          </w:p>
        </w:tc>
        <w:tc>
          <w:tcPr>
            <w:tcW w:w="993" w:type="dxa"/>
            <w:shd w:val="clear" w:color="auto" w:fill="F3F3F3"/>
          </w:tcPr>
          <w:p w14:paraId="1C04140E" w14:textId="77777777" w:rsidR="005C33F4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30</w:t>
            </w:r>
          </w:p>
          <w:p w14:paraId="54B818B0" w14:textId="4226E38B" w:rsidR="00A12057" w:rsidRPr="00B93B09" w:rsidRDefault="00A12057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days</w:t>
            </w:r>
          </w:p>
        </w:tc>
      </w:tr>
      <w:tr w:rsidR="005C33F4" w:rsidRPr="003B39F2" w14:paraId="6D8728FF" w14:textId="77777777" w:rsidTr="00B93B09">
        <w:tc>
          <w:tcPr>
            <w:tcW w:w="993" w:type="dxa"/>
            <w:shd w:val="clear" w:color="auto" w:fill="F3F3F3"/>
          </w:tcPr>
          <w:p w14:paraId="333D9E50" w14:textId="276CEAE0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8079" w:type="dxa"/>
            <w:shd w:val="clear" w:color="auto" w:fill="F3F3F3"/>
          </w:tcPr>
          <w:p w14:paraId="5DEF449E" w14:textId="2F83006E" w:rsidR="005C33F4" w:rsidRPr="00F447E3" w:rsidRDefault="00A12057" w:rsidP="005C33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stage 8b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OIG update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with proposed OIG </w:t>
            </w:r>
            <w:r>
              <w:rPr>
                <w:rFonts w:ascii="Arial" w:hAnsi="Arial" w:cs="Arial"/>
                <w:sz w:val="20"/>
                <w:szCs w:val="20"/>
              </w:rPr>
              <w:t>solution (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investigation or audit plan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3F284E45" w14:textId="4A2C137E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OIG</w:t>
            </w:r>
          </w:p>
        </w:tc>
        <w:tc>
          <w:tcPr>
            <w:tcW w:w="993" w:type="dxa"/>
            <w:shd w:val="clear" w:color="auto" w:fill="F3F3F3"/>
          </w:tcPr>
          <w:p w14:paraId="44BF6E02" w14:textId="77777777" w:rsidR="005C33F4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30</w:t>
            </w:r>
          </w:p>
          <w:p w14:paraId="084F83FD" w14:textId="75A225FF" w:rsidR="00A12057" w:rsidRPr="00B93B09" w:rsidRDefault="00A12057" w:rsidP="005C33F4">
            <w:pPr>
              <w:pStyle w:val="Bodytextcentralintab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days</w:t>
            </w:r>
          </w:p>
        </w:tc>
      </w:tr>
      <w:tr w:rsidR="005C33F4" w:rsidRPr="003B39F2" w14:paraId="52FECB30" w14:textId="77777777" w:rsidTr="00B93B09">
        <w:tc>
          <w:tcPr>
            <w:tcW w:w="993" w:type="dxa"/>
            <w:shd w:val="clear" w:color="auto" w:fill="F3F3F3"/>
          </w:tcPr>
          <w:p w14:paraId="65B13109" w14:textId="187B5803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11</w:t>
            </w:r>
          </w:p>
        </w:tc>
        <w:tc>
          <w:tcPr>
            <w:tcW w:w="8079" w:type="dxa"/>
            <w:shd w:val="clear" w:color="auto" w:fill="F3F3F3"/>
          </w:tcPr>
          <w:p w14:paraId="59B3117E" w14:textId="3B9FD236" w:rsidR="005C33F4" w:rsidRPr="00F447E3" w:rsidRDefault="00A12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full OIG investigation, </w:t>
            </w:r>
            <w:r>
              <w:rPr>
                <w:rFonts w:ascii="Arial" w:hAnsi="Arial" w:cs="Arial"/>
                <w:sz w:val="20"/>
                <w:szCs w:val="20"/>
              </w:rPr>
              <w:t>it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may include joint investigation with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 organization. Full investigation results published, or administrative closure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 xml:space="preserve">shared with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5C33F4" w:rsidRPr="00F447E3">
              <w:rPr>
                <w:rFonts w:ascii="Arial" w:hAnsi="Arial" w:cs="Arial"/>
                <w:sz w:val="20"/>
                <w:szCs w:val="20"/>
              </w:rPr>
              <w:t>organization.</w:t>
            </w:r>
          </w:p>
        </w:tc>
        <w:tc>
          <w:tcPr>
            <w:tcW w:w="1134" w:type="dxa"/>
            <w:shd w:val="clear" w:color="auto" w:fill="F3F3F3"/>
          </w:tcPr>
          <w:p w14:paraId="45B2E5D7" w14:textId="041F91E1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OIG</w:t>
            </w:r>
          </w:p>
        </w:tc>
        <w:tc>
          <w:tcPr>
            <w:tcW w:w="993" w:type="dxa"/>
            <w:shd w:val="clear" w:color="auto" w:fill="F3F3F3"/>
          </w:tcPr>
          <w:p w14:paraId="15EDE2F6" w14:textId="77777777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30</w:t>
            </w:r>
          </w:p>
          <w:p w14:paraId="7B28457D" w14:textId="6228BC99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weeks</w:t>
            </w:r>
          </w:p>
        </w:tc>
      </w:tr>
      <w:tr w:rsidR="005C33F4" w:rsidRPr="003B39F2" w14:paraId="2FDA973E" w14:textId="77777777" w:rsidTr="00B93B09">
        <w:tc>
          <w:tcPr>
            <w:tcW w:w="993" w:type="dxa"/>
            <w:shd w:val="clear" w:color="auto" w:fill="F3F3F3"/>
          </w:tcPr>
          <w:p w14:paraId="7710554C" w14:textId="4EEC2D40" w:rsidR="005C33F4" w:rsidRPr="00B93B09" w:rsidRDefault="00B93B09" w:rsidP="003B39F2">
            <w:pPr>
              <w:pStyle w:val="boldtext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  <w:lang w:val="en-GB"/>
              </w:rPr>
              <w:t>12</w:t>
            </w:r>
          </w:p>
        </w:tc>
        <w:tc>
          <w:tcPr>
            <w:tcW w:w="8079" w:type="dxa"/>
            <w:shd w:val="clear" w:color="auto" w:fill="F3F3F3"/>
          </w:tcPr>
          <w:p w14:paraId="48A544BD" w14:textId="198B336C" w:rsidR="005C33F4" w:rsidRPr="00F447E3" w:rsidRDefault="00A120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OIG investigation published in line with the Global Fund Policy for the Disclosure of Reports Issued by the Inspector General</w:t>
            </w:r>
            <w:r w:rsidR="0056654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3F3F3"/>
          </w:tcPr>
          <w:p w14:paraId="074AD184" w14:textId="32D7B5BA" w:rsidR="005C33F4" w:rsidRPr="00B93B09" w:rsidRDefault="005C33F4" w:rsidP="005C33F4">
            <w:pPr>
              <w:pStyle w:val="Bodytextcentralintable"/>
              <w:rPr>
                <w:sz w:val="20"/>
                <w:szCs w:val="20"/>
                <w:lang w:val="en-GB"/>
              </w:rPr>
            </w:pPr>
            <w:r w:rsidRPr="00B93B09">
              <w:rPr>
                <w:sz w:val="20"/>
                <w:szCs w:val="20"/>
              </w:rPr>
              <w:t>OIG</w:t>
            </w:r>
          </w:p>
        </w:tc>
        <w:tc>
          <w:tcPr>
            <w:tcW w:w="993" w:type="dxa"/>
            <w:shd w:val="clear" w:color="auto" w:fill="F3F3F3"/>
          </w:tcPr>
          <w:p w14:paraId="61BB9903" w14:textId="77777777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 xml:space="preserve">30 </w:t>
            </w:r>
          </w:p>
          <w:p w14:paraId="5C547A09" w14:textId="74E9FE8C" w:rsidR="005C33F4" w:rsidRPr="00B93B09" w:rsidRDefault="005C33F4" w:rsidP="005C33F4">
            <w:pPr>
              <w:pStyle w:val="Bodytextcentralintable"/>
              <w:rPr>
                <w:sz w:val="20"/>
                <w:szCs w:val="20"/>
              </w:rPr>
            </w:pPr>
            <w:r w:rsidRPr="00B93B09">
              <w:rPr>
                <w:sz w:val="20"/>
                <w:szCs w:val="20"/>
              </w:rPr>
              <w:t>weeks</w:t>
            </w:r>
          </w:p>
        </w:tc>
      </w:tr>
    </w:tbl>
    <w:p w14:paraId="3020DF2D" w14:textId="77777777" w:rsidR="00A01D5A" w:rsidRDefault="00A01D5A" w:rsidP="005C33F4">
      <w:pPr>
        <w:rPr>
          <w:lang w:val="en-GB"/>
        </w:rPr>
      </w:pPr>
    </w:p>
    <w:p w14:paraId="785FD9C8" w14:textId="1032B98E" w:rsidR="00A12057" w:rsidRDefault="00A12057" w:rsidP="005C33F4">
      <w:pPr>
        <w:rPr>
          <w:lang w:val="en-GB"/>
        </w:rPr>
      </w:pPr>
      <w:r>
        <w:rPr>
          <w:lang w:val="en-GB"/>
        </w:rPr>
        <w:tab/>
      </w:r>
    </w:p>
    <w:p w14:paraId="050545A5" w14:textId="11C68532" w:rsidR="00A12057" w:rsidRPr="00F447E3" w:rsidRDefault="006675BD">
      <w:pPr>
        <w:rPr>
          <w:rFonts w:ascii="Arial" w:hAnsi="Arial" w:cs="Arial"/>
          <w:sz w:val="20"/>
          <w:szCs w:val="20"/>
        </w:rPr>
      </w:pPr>
      <w:r w:rsidRPr="00566549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37FCEFFE" wp14:editId="6BB8F61D">
            <wp:simplePos x="0" y="0"/>
            <wp:positionH relativeFrom="column">
              <wp:posOffset>69850</wp:posOffset>
            </wp:positionH>
            <wp:positionV relativeFrom="paragraph">
              <wp:posOffset>1071245</wp:posOffset>
            </wp:positionV>
            <wp:extent cx="251655" cy="242498"/>
            <wp:effectExtent l="0" t="0" r="2540" b="120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5" cy="24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057" w:rsidRPr="00566549">
        <w:rPr>
          <w:rFonts w:ascii="Arial" w:hAnsi="Arial" w:cs="Arial"/>
          <w:sz w:val="20"/>
          <w:szCs w:val="20"/>
        </w:rPr>
        <w:t xml:space="preserve"> </w:t>
      </w:r>
      <w:r w:rsidR="00D80060" w:rsidRPr="00566549">
        <w:rPr>
          <w:rFonts w:ascii="Arial" w:hAnsi="Arial" w:cs="Arial"/>
          <w:sz w:val="20"/>
          <w:szCs w:val="20"/>
        </w:rPr>
        <w:t>*</w:t>
      </w:r>
      <w:r w:rsidR="00A12057" w:rsidRPr="00566549">
        <w:rPr>
          <w:rFonts w:ascii="Arial" w:hAnsi="Arial" w:cs="Arial"/>
          <w:sz w:val="20"/>
          <w:szCs w:val="20"/>
        </w:rPr>
        <w:t xml:space="preserve">Inspired by material from Catholic Relief Services </w:t>
      </w:r>
    </w:p>
    <w:sectPr w:rsidR="00A12057" w:rsidRPr="00F447E3" w:rsidSect="004D7916">
      <w:footerReference w:type="default" r:id="rId13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B7463" w14:textId="77777777" w:rsidR="00A12057" w:rsidRDefault="00A12057">
      <w:r>
        <w:separator/>
      </w:r>
    </w:p>
  </w:endnote>
  <w:endnote w:type="continuationSeparator" w:id="0">
    <w:p w14:paraId="5454C76A" w14:textId="77777777" w:rsidR="00A12057" w:rsidRDefault="00A1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4E1A8FAF" w:rsidR="00A12057" w:rsidRDefault="00A12057">
    <w:pPr>
      <w:pStyle w:val="BodyText"/>
      <w:spacing w:line="14" w:lineRule="auto"/>
      <w:rPr>
        <w:i/>
        <w:sz w:val="20"/>
      </w:rPr>
    </w:pPr>
    <w:r>
      <w:rPr>
        <w:noProof/>
        <w:lang w:val="en-GB" w:eastAsia="en-GB"/>
      </w:rPr>
      <w:drawing>
        <wp:anchor distT="0" distB="0" distL="114300" distR="115443" simplePos="0" relativeHeight="503305503" behindDoc="1" locked="0" layoutInCell="1" allowOverlap="1" wp14:anchorId="2A29A95F" wp14:editId="4C693895">
          <wp:simplePos x="0" y="0"/>
          <wp:positionH relativeFrom="margin">
            <wp:posOffset>4400550</wp:posOffset>
          </wp:positionH>
          <wp:positionV relativeFrom="paragraph">
            <wp:posOffset>276225</wp:posOffset>
          </wp:positionV>
          <wp:extent cx="2638552" cy="417195"/>
          <wp:effectExtent l="0" t="0" r="3175" b="0"/>
          <wp:wrapNone/>
          <wp:docPr id="2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BD21" w14:textId="77777777" w:rsidR="00A12057" w:rsidRDefault="00A12057">
      <w:r>
        <w:separator/>
      </w:r>
    </w:p>
  </w:footnote>
  <w:footnote w:type="continuationSeparator" w:id="0">
    <w:p w14:paraId="7D8A002C" w14:textId="77777777" w:rsidR="00A12057" w:rsidRDefault="00A12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83DEB"/>
    <w:multiLevelType w:val="hybridMultilevel"/>
    <w:tmpl w:val="C6E00B4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DA4756"/>
    <w:multiLevelType w:val="hybridMultilevel"/>
    <w:tmpl w:val="F2041E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2"/>
    <w:rsid w:val="00086DD7"/>
    <w:rsid w:val="00165E52"/>
    <w:rsid w:val="00187BEB"/>
    <w:rsid w:val="002B6CA4"/>
    <w:rsid w:val="002C772B"/>
    <w:rsid w:val="00380FC9"/>
    <w:rsid w:val="003B39F2"/>
    <w:rsid w:val="003F3914"/>
    <w:rsid w:val="004748EF"/>
    <w:rsid w:val="004A0723"/>
    <w:rsid w:val="004D7916"/>
    <w:rsid w:val="004F47A2"/>
    <w:rsid w:val="00566549"/>
    <w:rsid w:val="005C33F4"/>
    <w:rsid w:val="00616AED"/>
    <w:rsid w:val="00627F53"/>
    <w:rsid w:val="006675BD"/>
    <w:rsid w:val="006B5406"/>
    <w:rsid w:val="00792940"/>
    <w:rsid w:val="007E23F0"/>
    <w:rsid w:val="0084074D"/>
    <w:rsid w:val="008530AC"/>
    <w:rsid w:val="009C4798"/>
    <w:rsid w:val="009E4374"/>
    <w:rsid w:val="00A01D5A"/>
    <w:rsid w:val="00A12057"/>
    <w:rsid w:val="00A13924"/>
    <w:rsid w:val="00A744ED"/>
    <w:rsid w:val="00A772DF"/>
    <w:rsid w:val="00AF3A48"/>
    <w:rsid w:val="00B93B09"/>
    <w:rsid w:val="00D80060"/>
    <w:rsid w:val="00DA25B2"/>
    <w:rsid w:val="00E86CF4"/>
    <w:rsid w:val="00F447E3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F41BF"/>
  <w15:docId w15:val="{613F8F95-16E2-4D69-AA42-BB651306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401db0-15cc-4cf5-a6b0-88856d5531dd">UUH5M6HAD6ZK-202261005-375</_dlc_DocId>
    <_dlc_DocIdUrl xmlns="25401db0-15cc-4cf5-a6b0-88856d5531dd">
      <Url>https://tgf.sharepoint.com/sites/TSOIG1/OIGD/_layouts/15/DocIdRedir.aspx?ID=UUH5M6HAD6ZK-202261005-375</Url>
      <Description>UUH5M6HAD6ZK-202261005-375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2424FB0BF04488212F4B0F06499CE" ma:contentTypeVersion="1" ma:contentTypeDescription="Create a new document." ma:contentTypeScope="" ma:versionID="6f22d76ee785aaf6aa685399157854a5">
  <xsd:schema xmlns:xsd="http://www.w3.org/2001/XMLSchema" xmlns:xs="http://www.w3.org/2001/XMLSchema" xmlns:p="http://schemas.microsoft.com/office/2006/metadata/properties" xmlns:ns2="25401db0-15cc-4cf5-a6b0-88856d5531dd" xmlns:ns3="a97e73d4-8aa7-4c86-bec9-c71734fd3d7e" targetNamespace="http://schemas.microsoft.com/office/2006/metadata/properties" ma:root="true" ma:fieldsID="5d0b9b9531082918721a775651692f28" ns2:_="" ns3:_="">
    <xsd:import namespace="25401db0-15cc-4cf5-a6b0-88856d5531dd"/>
    <xsd:import namespace="a97e73d4-8aa7-4c86-bec9-c71734fd3d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1db0-15cc-4cf5-a6b0-88856d5531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e73d4-8aa7-4c86-bec9-c71734fd3d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307788-C0D7-4C80-BDEA-E7C8EC9BAAC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a97e73d4-8aa7-4c86-bec9-c71734fd3d7e"/>
    <ds:schemaRef ds:uri="http://schemas.openxmlformats.org/package/2006/metadata/core-properties"/>
    <ds:schemaRef ds:uri="25401db0-15cc-4cf5-a6b0-88856d5531d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7174B0-0BD7-4DA2-B2E7-064CF3059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14FE2-B555-4F92-838B-BC17C7DB18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FBF07F-C3B7-4B90-8216-7924EDA78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401db0-15cc-4cf5-a6b0-88856d5531dd"/>
    <ds:schemaRef ds:uri="a97e73d4-8aa7-4c86-bec9-c71734fd3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AF62762-AB63-4B91-8AA2-4A0B138E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DC055FF0.dotm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Diane Crawford</cp:lastModifiedBy>
  <cp:revision>2</cp:revision>
  <cp:lastPrinted>2017-04-27T11:43:00Z</cp:lastPrinted>
  <dcterms:created xsi:type="dcterms:W3CDTF">2017-04-27T11:44:00Z</dcterms:created>
  <dcterms:modified xsi:type="dcterms:W3CDTF">2017-04-27T11:44:00Z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  <property fmtid="{D5CDD505-2E9C-101B-9397-08002B2CF9AE}" pid="5" name="ContentTypeId">
    <vt:lpwstr>0x0101009762424FB0BF04488212F4B0F06499CE</vt:lpwstr>
  </property>
  <property fmtid="{D5CDD505-2E9C-101B-9397-08002B2CF9AE}" pid="6" name="_dlc_DocIdItemGuid">
    <vt:lpwstr>002b50f1-1ad8-49c7-ad29-8a714eac6c7a</vt:lpwstr>
  </property>
</Properties>
</file>